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C5868D5" w14:paraId="2C078E63" wp14:textId="58791FC3">
      <w:pPr>
        <w:pStyle w:val="Normal"/>
      </w:pPr>
      <w:r w:rsidR="16EED588">
        <w:drawing>
          <wp:inline xmlns:wp14="http://schemas.microsoft.com/office/word/2010/wordprocessingDrawing" wp14:editId="44DC2840" wp14:anchorId="360F44BB">
            <wp:extent cx="542925" cy="533400"/>
            <wp:effectExtent l="0" t="0" r="0" b="0"/>
            <wp:docPr id="1161568076" name="" title=""/>
            <wp:cNvGraphicFramePr>
              <a:graphicFrameLocks noChangeAspect="1"/>
            </wp:cNvGraphicFramePr>
            <a:graphic>
              <a:graphicData uri="http://schemas.openxmlformats.org/drawingml/2006/picture">
                <pic:pic>
                  <pic:nvPicPr>
                    <pic:cNvPr id="0" name=""/>
                    <pic:cNvPicPr/>
                  </pic:nvPicPr>
                  <pic:blipFill>
                    <a:blip r:embed="R90d5f02e25e04750">
                      <a:extLst>
                        <a:ext xmlns:a="http://schemas.openxmlformats.org/drawingml/2006/main" uri="{28A0092B-C50C-407E-A947-70E740481C1C}">
                          <a14:useLocalDpi val="0"/>
                        </a:ext>
                      </a:extLst>
                    </a:blip>
                    <a:stretch>
                      <a:fillRect/>
                    </a:stretch>
                  </pic:blipFill>
                  <pic:spPr>
                    <a:xfrm>
                      <a:off x="0" y="0"/>
                      <a:ext cx="542925" cy="533400"/>
                    </a:xfrm>
                    <a:prstGeom prst="rect">
                      <a:avLst/>
                    </a:prstGeom>
                  </pic:spPr>
                </pic:pic>
              </a:graphicData>
            </a:graphic>
          </wp:inline>
        </w:drawing>
      </w:r>
    </w:p>
    <w:p w:rsidR="16EED588" w:rsidRDefault="16EED588" w14:paraId="35726699" w14:textId="64E31291">
      <w:r w:rsidRPr="4C5868D5" w:rsidR="16EED588">
        <w:rPr>
          <w:rFonts w:ascii="Georgia" w:hAnsi="Georgia" w:eastAsia="Georgia" w:cs="Georgia"/>
          <w:b w:val="0"/>
          <w:bCs w:val="0"/>
          <w:i w:val="0"/>
          <w:iCs w:val="0"/>
          <w:caps w:val="0"/>
          <w:smallCaps w:val="0"/>
          <w:noProof w:val="0"/>
          <w:color w:val="323E4F" w:themeColor="text2" w:themeTint="FF" w:themeShade="BF"/>
          <w:sz w:val="44"/>
          <w:szCs w:val="44"/>
          <w:lang w:val="en-US"/>
        </w:rPr>
        <w:t>CLA Announces Principal and Signing Director Career Advancements in Green Bay Wisconsin</w:t>
      </w:r>
    </w:p>
    <w:p w:rsidR="16EED588" w:rsidRDefault="16EED588" w14:paraId="01A208FF" w14:textId="0F075314">
      <w:r w:rsidRPr="4C5868D5" w:rsidR="16EED588">
        <w:rPr>
          <w:rFonts w:ascii="Calibri" w:hAnsi="Calibri" w:eastAsia="Calibri" w:cs="Calibri"/>
          <w:b w:val="0"/>
          <w:bCs w:val="0"/>
          <w:i w:val="1"/>
          <w:iCs w:val="1"/>
          <w:caps w:val="0"/>
          <w:smallCaps w:val="0"/>
          <w:noProof w:val="0"/>
          <w:color w:val="000000" w:themeColor="text1" w:themeTint="FF" w:themeShade="FF"/>
          <w:sz w:val="28"/>
          <w:szCs w:val="28"/>
          <w:lang w:val="en-US"/>
        </w:rPr>
        <w:t>CLA family members recognized for their accomplishments</w:t>
      </w:r>
    </w:p>
    <w:p w:rsidR="16EED588" w:rsidRDefault="16EED588" w14:paraId="6FA3C45F" w14:textId="3583C702">
      <w:r w:rsidRPr="4C5868D5" w:rsidR="16EED58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Green Bay, WI (November 1, 2022) — CLA (CliftonLarsonAllen LLP), the eighth largest accounting firm in the United States, announced principal and signing director career advancements for professionals across the firm effective January 1, 2023, including 5 in Green Bay. These advancements are in addition to the more than </w:t>
      </w:r>
      <w:hyperlink r:id="R8b34f9dccac94ee8">
        <w:r w:rsidRPr="4C5868D5" w:rsidR="16EED588">
          <w:rPr>
            <w:rStyle w:val="Hyperlink"/>
            <w:rFonts w:ascii="Calibri" w:hAnsi="Calibri" w:eastAsia="Calibri" w:cs="Calibri"/>
            <w:b w:val="0"/>
            <w:bCs w:val="0"/>
            <w:i w:val="0"/>
            <w:iCs w:val="0"/>
            <w:caps w:val="0"/>
            <w:smallCaps w:val="0"/>
            <w:strike w:val="0"/>
            <w:dstrike w:val="0"/>
            <w:noProof w:val="0"/>
            <w:sz w:val="22"/>
            <w:szCs w:val="22"/>
            <w:lang w:val="en-US"/>
          </w:rPr>
          <w:t>770 professionals who advanced in July 2022</w:t>
        </w:r>
      </w:hyperlink>
      <w:r w:rsidRPr="4C5868D5" w:rsidR="16EED588">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16EED588" w:rsidRDefault="16EED588" w14:paraId="1C0383C3" w14:textId="5776FA0B">
      <w:r w:rsidRPr="4C5868D5" w:rsidR="16EED58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Congratulations to the following individuals in Green Bay who have reached new stages in their chosen career paths:</w:t>
      </w:r>
    </w:p>
    <w:p w:rsidR="16EED588" w:rsidP="4C5868D5" w:rsidRDefault="16EED588" w14:paraId="2AAE352C" w14:textId="55D5B246">
      <w:pPr>
        <w:ind w:left="360" w:hanging="360"/>
      </w:pPr>
      <w:r w:rsidRPr="4C5868D5" w:rsidR="16EED588">
        <w:rPr>
          <w:rFonts w:ascii="Symbol" w:hAnsi="Symbol" w:eastAsia="Symbol" w:cs="Symbol"/>
          <w:b w:val="0"/>
          <w:bCs w:val="0"/>
          <w:i w:val="0"/>
          <w:iCs w:val="0"/>
          <w:caps w:val="0"/>
          <w:smallCaps w:val="0"/>
          <w:noProof w:val="0"/>
          <w:color w:val="ACACA7"/>
          <w:sz w:val="22"/>
          <w:szCs w:val="22"/>
          <w:lang w:val="en-US"/>
        </w:rPr>
        <w:t>·</w:t>
      </w:r>
      <w:r w:rsidRPr="4C5868D5" w:rsidR="16EED588">
        <w:rPr>
          <w:rFonts w:ascii="Times New Roman" w:hAnsi="Times New Roman" w:eastAsia="Times New Roman" w:cs="Times New Roman"/>
          <w:b w:val="0"/>
          <w:bCs w:val="0"/>
          <w:i w:val="0"/>
          <w:iCs w:val="0"/>
          <w:caps w:val="0"/>
          <w:smallCaps w:val="0"/>
          <w:noProof w:val="0"/>
          <w:color w:val="ACACA7"/>
          <w:sz w:val="14"/>
          <w:szCs w:val="14"/>
          <w:lang w:val="en-US"/>
        </w:rPr>
        <w:t xml:space="preserve">         </w:t>
      </w:r>
      <w:r w:rsidRPr="4C5868D5" w:rsidR="16EED588">
        <w:rPr>
          <w:rFonts w:ascii="Calibri" w:hAnsi="Calibri" w:eastAsia="Calibri" w:cs="Calibri"/>
          <w:b w:val="0"/>
          <w:bCs w:val="0"/>
          <w:i w:val="0"/>
          <w:iCs w:val="0"/>
          <w:caps w:val="0"/>
          <w:smallCaps w:val="0"/>
          <w:noProof w:val="0"/>
          <w:color w:val="000000" w:themeColor="text1" w:themeTint="FF" w:themeShade="FF"/>
          <w:sz w:val="22"/>
          <w:szCs w:val="22"/>
          <w:lang w:val="en-US"/>
        </w:rPr>
        <w:t>Amber Drewieske, Principal, State &amp; Local Government</w:t>
      </w:r>
    </w:p>
    <w:p w:rsidR="16EED588" w:rsidP="4C5868D5" w:rsidRDefault="16EED588" w14:paraId="456ECFE6" w14:textId="312B0680">
      <w:pPr>
        <w:ind w:left="360" w:hanging="360"/>
      </w:pPr>
      <w:r w:rsidRPr="4C5868D5" w:rsidR="16EED588">
        <w:rPr>
          <w:rFonts w:ascii="Symbol" w:hAnsi="Symbol" w:eastAsia="Symbol" w:cs="Symbol"/>
          <w:b w:val="0"/>
          <w:bCs w:val="0"/>
          <w:i w:val="0"/>
          <w:iCs w:val="0"/>
          <w:caps w:val="0"/>
          <w:smallCaps w:val="0"/>
          <w:noProof w:val="0"/>
          <w:color w:val="ACACA7"/>
          <w:sz w:val="22"/>
          <w:szCs w:val="22"/>
          <w:lang w:val="en-US"/>
        </w:rPr>
        <w:t>·</w:t>
      </w:r>
      <w:r w:rsidRPr="4C5868D5" w:rsidR="16EED588">
        <w:rPr>
          <w:rFonts w:ascii="Times New Roman" w:hAnsi="Times New Roman" w:eastAsia="Times New Roman" w:cs="Times New Roman"/>
          <w:b w:val="0"/>
          <w:bCs w:val="0"/>
          <w:i w:val="0"/>
          <w:iCs w:val="0"/>
          <w:caps w:val="0"/>
          <w:smallCaps w:val="0"/>
          <w:noProof w:val="0"/>
          <w:color w:val="ACACA7"/>
          <w:sz w:val="14"/>
          <w:szCs w:val="14"/>
          <w:lang w:val="en-US"/>
        </w:rPr>
        <w:t xml:space="preserve">         </w:t>
      </w:r>
      <w:r w:rsidRPr="4C5868D5" w:rsidR="16EED588">
        <w:rPr>
          <w:rFonts w:ascii="Calibri" w:hAnsi="Calibri" w:eastAsia="Calibri" w:cs="Calibri"/>
          <w:b w:val="0"/>
          <w:bCs w:val="0"/>
          <w:i w:val="0"/>
          <w:iCs w:val="0"/>
          <w:caps w:val="0"/>
          <w:smallCaps w:val="0"/>
          <w:noProof w:val="0"/>
          <w:color w:val="000000" w:themeColor="text1" w:themeTint="FF" w:themeShade="FF"/>
          <w:sz w:val="22"/>
          <w:szCs w:val="22"/>
          <w:lang w:val="en-US"/>
        </w:rPr>
        <w:t>Adam Mleziva, Principal, Manufacturing and Distribution</w:t>
      </w:r>
    </w:p>
    <w:p w:rsidR="16EED588" w:rsidP="4C5868D5" w:rsidRDefault="16EED588" w14:paraId="1ADD9625" w14:textId="3501EC31">
      <w:pPr>
        <w:ind w:left="360" w:hanging="360"/>
      </w:pPr>
      <w:r w:rsidRPr="4C5868D5" w:rsidR="16EED588">
        <w:rPr>
          <w:rFonts w:ascii="Symbol" w:hAnsi="Symbol" w:eastAsia="Symbol" w:cs="Symbol"/>
          <w:b w:val="0"/>
          <w:bCs w:val="0"/>
          <w:i w:val="0"/>
          <w:iCs w:val="0"/>
          <w:caps w:val="0"/>
          <w:smallCaps w:val="0"/>
          <w:noProof w:val="0"/>
          <w:color w:val="ACACA7"/>
          <w:sz w:val="22"/>
          <w:szCs w:val="22"/>
          <w:lang w:val="en-US"/>
        </w:rPr>
        <w:t>·</w:t>
      </w:r>
      <w:r w:rsidRPr="4C5868D5" w:rsidR="16EED588">
        <w:rPr>
          <w:rFonts w:ascii="Times New Roman" w:hAnsi="Times New Roman" w:eastAsia="Times New Roman" w:cs="Times New Roman"/>
          <w:b w:val="0"/>
          <w:bCs w:val="0"/>
          <w:i w:val="0"/>
          <w:iCs w:val="0"/>
          <w:caps w:val="0"/>
          <w:smallCaps w:val="0"/>
          <w:noProof w:val="0"/>
          <w:color w:val="ACACA7"/>
          <w:sz w:val="14"/>
          <w:szCs w:val="14"/>
          <w:lang w:val="en-US"/>
        </w:rPr>
        <w:t xml:space="preserve">         </w:t>
      </w:r>
      <w:r w:rsidRPr="4C5868D5" w:rsidR="16EED588">
        <w:rPr>
          <w:rFonts w:ascii="Calibri" w:hAnsi="Calibri" w:eastAsia="Calibri" w:cs="Calibri"/>
          <w:b w:val="0"/>
          <w:bCs w:val="0"/>
          <w:i w:val="0"/>
          <w:iCs w:val="0"/>
          <w:caps w:val="0"/>
          <w:smallCaps w:val="0"/>
          <w:noProof w:val="0"/>
          <w:color w:val="000000" w:themeColor="text1" w:themeTint="FF" w:themeShade="FF"/>
          <w:sz w:val="22"/>
          <w:szCs w:val="22"/>
          <w:lang w:val="en-US"/>
        </w:rPr>
        <w:t>Melissa Gerrits, Signing Director, Manufacturing and Distribution</w:t>
      </w:r>
    </w:p>
    <w:p w:rsidR="16EED588" w:rsidP="4C5868D5" w:rsidRDefault="16EED588" w14:paraId="009931CA" w14:textId="4F4BD4DF">
      <w:pPr>
        <w:ind w:left="360" w:hanging="360"/>
      </w:pPr>
      <w:r w:rsidRPr="4C5868D5" w:rsidR="16EED588">
        <w:rPr>
          <w:rFonts w:ascii="Symbol" w:hAnsi="Symbol" w:eastAsia="Symbol" w:cs="Symbol"/>
          <w:b w:val="0"/>
          <w:bCs w:val="0"/>
          <w:i w:val="0"/>
          <w:iCs w:val="0"/>
          <w:caps w:val="0"/>
          <w:smallCaps w:val="0"/>
          <w:noProof w:val="0"/>
          <w:color w:val="ACACA7"/>
          <w:sz w:val="22"/>
          <w:szCs w:val="22"/>
          <w:lang w:val="en-US"/>
        </w:rPr>
        <w:t>·</w:t>
      </w:r>
      <w:r w:rsidRPr="4C5868D5" w:rsidR="16EED588">
        <w:rPr>
          <w:rFonts w:ascii="Times New Roman" w:hAnsi="Times New Roman" w:eastAsia="Times New Roman" w:cs="Times New Roman"/>
          <w:b w:val="0"/>
          <w:bCs w:val="0"/>
          <w:i w:val="0"/>
          <w:iCs w:val="0"/>
          <w:caps w:val="0"/>
          <w:smallCaps w:val="0"/>
          <w:noProof w:val="0"/>
          <w:color w:val="ACACA7"/>
          <w:sz w:val="14"/>
          <w:szCs w:val="14"/>
          <w:lang w:val="en-US"/>
        </w:rPr>
        <w:t xml:space="preserve">         </w:t>
      </w:r>
      <w:r w:rsidRPr="4C5868D5" w:rsidR="16EED588">
        <w:rPr>
          <w:rFonts w:ascii="Calibri" w:hAnsi="Calibri" w:eastAsia="Calibri" w:cs="Calibri"/>
          <w:b w:val="0"/>
          <w:bCs w:val="0"/>
          <w:i w:val="0"/>
          <w:iCs w:val="0"/>
          <w:caps w:val="0"/>
          <w:smallCaps w:val="0"/>
          <w:noProof w:val="0"/>
          <w:color w:val="000000" w:themeColor="text1" w:themeTint="FF" w:themeShade="FF"/>
          <w:sz w:val="22"/>
          <w:szCs w:val="22"/>
          <w:lang w:val="en-US"/>
        </w:rPr>
        <w:t>Becky Meyer, Signing Director, Nonprofit</w:t>
      </w:r>
    </w:p>
    <w:p w:rsidR="16EED588" w:rsidP="4C5868D5" w:rsidRDefault="16EED588" w14:paraId="127E2BB0" w14:textId="3AEB683C">
      <w:pPr>
        <w:ind w:left="360" w:hanging="360"/>
      </w:pPr>
      <w:r w:rsidRPr="4C5868D5" w:rsidR="16EED588">
        <w:rPr>
          <w:rFonts w:ascii="Symbol" w:hAnsi="Symbol" w:eastAsia="Symbol" w:cs="Symbol"/>
          <w:b w:val="0"/>
          <w:bCs w:val="0"/>
          <w:i w:val="0"/>
          <w:iCs w:val="0"/>
          <w:caps w:val="0"/>
          <w:smallCaps w:val="0"/>
          <w:noProof w:val="0"/>
          <w:color w:val="ACACA7"/>
          <w:sz w:val="22"/>
          <w:szCs w:val="22"/>
          <w:lang w:val="en-US"/>
        </w:rPr>
        <w:t>·</w:t>
      </w:r>
      <w:r w:rsidRPr="4C5868D5" w:rsidR="16EED588">
        <w:rPr>
          <w:rFonts w:ascii="Times New Roman" w:hAnsi="Times New Roman" w:eastAsia="Times New Roman" w:cs="Times New Roman"/>
          <w:b w:val="0"/>
          <w:bCs w:val="0"/>
          <w:i w:val="0"/>
          <w:iCs w:val="0"/>
          <w:caps w:val="0"/>
          <w:smallCaps w:val="0"/>
          <w:noProof w:val="0"/>
          <w:color w:val="ACACA7"/>
          <w:sz w:val="14"/>
          <w:szCs w:val="14"/>
          <w:lang w:val="en-US"/>
        </w:rPr>
        <w:t xml:space="preserve">         </w:t>
      </w:r>
      <w:r w:rsidRPr="4C5868D5" w:rsidR="16EED588">
        <w:rPr>
          <w:rFonts w:ascii="Calibri" w:hAnsi="Calibri" w:eastAsia="Calibri" w:cs="Calibri"/>
          <w:b w:val="0"/>
          <w:bCs w:val="0"/>
          <w:i w:val="0"/>
          <w:iCs w:val="0"/>
          <w:caps w:val="0"/>
          <w:smallCaps w:val="0"/>
          <w:noProof w:val="0"/>
          <w:color w:val="000000" w:themeColor="text1" w:themeTint="FF" w:themeShade="FF"/>
          <w:sz w:val="22"/>
          <w:szCs w:val="22"/>
          <w:lang w:val="en-US"/>
        </w:rPr>
        <w:t>Kari Theis, Signing Director, Construction</w:t>
      </w:r>
    </w:p>
    <w:p w:rsidR="16EED588" w:rsidRDefault="16EED588" w14:paraId="7EB93610" w14:textId="6928C797">
      <w:r w:rsidRPr="4C5868D5" w:rsidR="16EED58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16EED588" w:rsidRDefault="16EED588" w14:paraId="6D3E69B3" w14:textId="588302F4">
      <w:r w:rsidRPr="4C5868D5" w:rsidR="16EED588">
        <w:rPr>
          <w:rFonts w:ascii="Calibri" w:hAnsi="Calibri" w:eastAsia="Calibri" w:cs="Calibri"/>
          <w:b w:val="0"/>
          <w:bCs w:val="0"/>
          <w:i w:val="0"/>
          <w:iCs w:val="0"/>
          <w:caps w:val="0"/>
          <w:smallCaps w:val="0"/>
          <w:noProof w:val="0"/>
          <w:color w:val="000000" w:themeColor="text1" w:themeTint="FF" w:themeShade="FF"/>
          <w:sz w:val="22"/>
          <w:szCs w:val="22"/>
          <w:lang w:val="en-US"/>
        </w:rPr>
        <w:t>“I’m thrilled to celebrate the leaders advancing this year who are significant contributors to CLA’s success,” said Jen Leary, CEO of CLA. “These leaders are the best in the business. We have a lot of reasons to celebrate the talent from coast-to-coast at CLA.”</w:t>
      </w:r>
    </w:p>
    <w:p w:rsidR="16EED588" w:rsidRDefault="16EED588" w14:paraId="3B4BE94B" w14:textId="740DFD12">
      <w:r w:rsidRPr="4C5868D5" w:rsidR="16EED58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2022 marks the fifth consecutive year CLA has ranked number eight in the </w:t>
      </w:r>
      <w:hyperlink r:id="R3692cbe700a34151">
        <w:r w:rsidRPr="4C5868D5" w:rsidR="16EED588">
          <w:rPr>
            <w:rStyle w:val="Hyperlink"/>
            <w:rFonts w:ascii="Calibri" w:hAnsi="Calibri" w:eastAsia="Calibri" w:cs="Calibri"/>
            <w:b w:val="0"/>
            <w:bCs w:val="0"/>
            <w:i w:val="1"/>
            <w:iCs w:val="1"/>
            <w:caps w:val="0"/>
            <w:smallCaps w:val="0"/>
            <w:strike w:val="0"/>
            <w:dstrike w:val="0"/>
            <w:noProof w:val="0"/>
            <w:sz w:val="22"/>
            <w:szCs w:val="22"/>
            <w:lang w:val="en-US"/>
          </w:rPr>
          <w:t>Accounting Today</w:t>
        </w:r>
        <w:r w:rsidRPr="4C5868D5" w:rsidR="16EED588">
          <w:rPr>
            <w:rStyle w:val="Hyperlink"/>
            <w:rFonts w:ascii="Calibri" w:hAnsi="Calibri" w:eastAsia="Calibri" w:cs="Calibri"/>
            <w:b w:val="0"/>
            <w:bCs w:val="0"/>
            <w:i w:val="0"/>
            <w:iCs w:val="0"/>
            <w:caps w:val="0"/>
            <w:smallCaps w:val="0"/>
            <w:strike w:val="0"/>
            <w:dstrike w:val="0"/>
            <w:noProof w:val="0"/>
            <w:sz w:val="22"/>
            <w:szCs w:val="22"/>
            <w:lang w:val="en-US"/>
          </w:rPr>
          <w:t xml:space="preserve"> Top 100 Firms List</w:t>
        </w:r>
      </w:hyperlink>
      <w:r w:rsidRPr="4C5868D5" w:rsidR="16EED58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addition, CLA is </w:t>
      </w:r>
      <w:hyperlink r:id="R872a53679a7a4c19">
        <w:r w:rsidRPr="4C5868D5" w:rsidR="16EED588">
          <w:rPr>
            <w:rStyle w:val="Hyperlink"/>
            <w:rFonts w:ascii="Calibri" w:hAnsi="Calibri" w:eastAsia="Calibri" w:cs="Calibri"/>
            <w:b w:val="0"/>
            <w:bCs w:val="0"/>
            <w:i w:val="0"/>
            <w:iCs w:val="0"/>
            <w:caps w:val="0"/>
            <w:smallCaps w:val="0"/>
            <w:strike w:val="0"/>
            <w:dstrike w:val="0"/>
            <w:noProof w:val="0"/>
            <w:sz w:val="22"/>
            <w:szCs w:val="22"/>
            <w:lang w:val="en-US"/>
          </w:rPr>
          <w:t>Great Place to Work-Certified™</w:t>
        </w:r>
      </w:hyperlink>
      <w:r w:rsidRPr="4C5868D5" w:rsidR="16EED588">
        <w:rPr>
          <w:rFonts w:ascii="Calibri" w:hAnsi="Calibri" w:eastAsia="Calibri" w:cs="Calibri"/>
          <w:b w:val="0"/>
          <w:bCs w:val="0"/>
          <w:i w:val="0"/>
          <w:iCs w:val="0"/>
          <w:caps w:val="0"/>
          <w:smallCaps w:val="0"/>
          <w:noProof w:val="0"/>
          <w:color w:val="000000" w:themeColor="text1" w:themeTint="FF" w:themeShade="FF"/>
          <w:sz w:val="22"/>
          <w:szCs w:val="22"/>
          <w:lang w:val="en-US"/>
        </w:rPr>
        <w:t>, demonstrating that it is an employer of choice in the market and enabling avenues to continuously build culture through reporting, analysis, and actionable steps.</w:t>
      </w:r>
    </w:p>
    <w:p w:rsidR="16EED588" w:rsidRDefault="16EED588" w14:paraId="333548CA" w14:textId="65B8C3D8">
      <w:r w:rsidRPr="4C5868D5" w:rsidR="16EED588">
        <w:rPr>
          <w:rFonts w:ascii="Calibri" w:hAnsi="Calibri" w:eastAsia="Calibri" w:cs="Calibri"/>
          <w:b w:val="0"/>
          <w:bCs w:val="0"/>
          <w:i w:val="0"/>
          <w:iCs w:val="0"/>
          <w:caps w:val="0"/>
          <w:smallCaps w:val="0"/>
          <w:noProof w:val="0"/>
          <w:color w:val="000000" w:themeColor="text1" w:themeTint="FF" w:themeShade="FF"/>
          <w:sz w:val="22"/>
          <w:szCs w:val="22"/>
          <w:lang w:val="en-US"/>
        </w:rPr>
        <w:t>Each year CLA makes compensation and advancement decisions through an inclusive and collaborative process. These decisions are made by coaches and leaders who take time to know and help our CLA family members live their inspired careers.</w:t>
      </w:r>
    </w:p>
    <w:p w:rsidR="16EED588" w:rsidRDefault="16EED588" w14:paraId="4F457A18" w14:textId="433EA0F1">
      <w:r w:rsidRPr="4C5868D5" w:rsidR="16EED588">
        <w:rPr>
          <w:rFonts w:ascii="Calibri" w:hAnsi="Calibri" w:eastAsia="Calibri" w:cs="Calibri"/>
          <w:b w:val="1"/>
          <w:bCs w:val="1"/>
          <w:i w:val="0"/>
          <w:iCs w:val="0"/>
          <w:caps w:val="0"/>
          <w:smallCaps w:val="0"/>
          <w:noProof w:val="0"/>
          <w:color w:val="000000" w:themeColor="text1" w:themeTint="FF" w:themeShade="FF"/>
          <w:sz w:val="28"/>
          <w:szCs w:val="28"/>
          <w:lang w:val="en-US"/>
        </w:rPr>
        <w:t>About CLA</w:t>
      </w:r>
    </w:p>
    <w:p w:rsidR="16EED588" w:rsidRDefault="16EED588" w14:paraId="45A8A529" w14:textId="5E10484F">
      <w:r w:rsidRPr="4C5868D5" w:rsidR="16EED58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CLA exists to create opportunities for our clients, our people, and our communities through industry-focused wealth advisory, digital, audit, tax, consulting, and outsourcing services. With more than 7,500 people, 121 U.S. locations, and a global vision, we promise to know you and help you. For more information, visit </w:t>
      </w:r>
      <w:hyperlink r:id="R523b7bf0ad214442">
        <w:r w:rsidRPr="4C5868D5" w:rsidR="16EED588">
          <w:rPr>
            <w:rStyle w:val="Hyperlink"/>
            <w:rFonts w:ascii="Calibri" w:hAnsi="Calibri" w:eastAsia="Calibri" w:cs="Calibri"/>
            <w:b w:val="0"/>
            <w:bCs w:val="0"/>
            <w:i w:val="0"/>
            <w:iCs w:val="0"/>
            <w:caps w:val="0"/>
            <w:smallCaps w:val="0"/>
            <w:strike w:val="0"/>
            <w:dstrike w:val="0"/>
            <w:noProof w:val="0"/>
            <w:sz w:val="22"/>
            <w:szCs w:val="22"/>
            <w:lang w:val="en-US"/>
          </w:rPr>
          <w:t>CLAconnect.com</w:t>
        </w:r>
      </w:hyperlink>
      <w:r w:rsidRPr="4C5868D5" w:rsidR="16EED58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C5868D5" w:rsidR="16EED588">
        <w:rPr>
          <w:rFonts w:ascii="Calibri" w:hAnsi="Calibri" w:eastAsia="Calibri" w:cs="Calibri"/>
          <w:b w:val="0"/>
          <w:bCs w:val="0"/>
          <w:i w:val="1"/>
          <w:iCs w:val="1"/>
          <w:caps w:val="0"/>
          <w:smallCaps w:val="0"/>
          <w:noProof w:val="0"/>
          <w:color w:val="404041"/>
          <w:sz w:val="21"/>
          <w:szCs w:val="21"/>
          <w:lang w:val="en-US"/>
        </w:rPr>
        <w:t xml:space="preserve">CLA (CliftonLarsonAllen LLP) is an independent network member of CLA Global. See </w:t>
      </w:r>
      <w:hyperlink r:id="R7fea1c6afee04848">
        <w:r w:rsidRPr="4C5868D5" w:rsidR="16EED588">
          <w:rPr>
            <w:rStyle w:val="Hyperlink"/>
            <w:rFonts w:ascii="Calibri" w:hAnsi="Calibri" w:eastAsia="Calibri" w:cs="Calibri"/>
            <w:b w:val="0"/>
            <w:bCs w:val="0"/>
            <w:i w:val="1"/>
            <w:iCs w:val="1"/>
            <w:caps w:val="0"/>
            <w:smallCaps w:val="0"/>
            <w:strike w:val="0"/>
            <w:dstrike w:val="0"/>
            <w:noProof w:val="0"/>
            <w:sz w:val="21"/>
            <w:szCs w:val="21"/>
            <w:lang w:val="en-US"/>
          </w:rPr>
          <w:t>CLAglobal.com/disclaimer</w:t>
        </w:r>
      </w:hyperlink>
      <w:r w:rsidRPr="4C5868D5" w:rsidR="16EED588">
        <w:rPr>
          <w:rFonts w:ascii="Calibri" w:hAnsi="Calibri" w:eastAsia="Calibri" w:cs="Calibri"/>
          <w:b w:val="0"/>
          <w:bCs w:val="0"/>
          <w:i w:val="1"/>
          <w:iCs w:val="1"/>
          <w:caps w:val="0"/>
          <w:smallCaps w:val="0"/>
          <w:noProof w:val="0"/>
          <w:color w:val="404041"/>
          <w:sz w:val="21"/>
          <w:szCs w:val="21"/>
          <w:lang w:val="en-US"/>
        </w:rPr>
        <w:t xml:space="preserve">. </w:t>
      </w:r>
      <w:r w:rsidRPr="4C5868D5" w:rsidR="16EED588">
        <w:rPr>
          <w:rFonts w:ascii="Calibri" w:hAnsi="Calibri" w:eastAsia="Calibri" w:cs="Calibri"/>
          <w:b w:val="0"/>
          <w:bCs w:val="0"/>
          <w:i w:val="1"/>
          <w:iCs w:val="1"/>
          <w:caps w:val="0"/>
          <w:smallCaps w:val="0"/>
          <w:noProof w:val="0"/>
          <w:color w:val="000000" w:themeColor="text1" w:themeTint="FF" w:themeShade="FF"/>
          <w:sz w:val="22"/>
          <w:szCs w:val="22"/>
          <w:lang w:val="en-US"/>
        </w:rPr>
        <w:t>Investment advisory services are offered through CliftonLarsonAllen Wealth Advisors, LLC, an SEC-registered investment advisor.</w:t>
      </w:r>
    </w:p>
    <w:p w:rsidR="16EED588" w:rsidP="4C5868D5" w:rsidRDefault="16EED588" w14:paraId="63C8F90C" w14:textId="66B31EE9">
      <w:pPr>
        <w:jc w:val="center"/>
      </w:pPr>
      <w:r w:rsidRPr="4C5868D5" w:rsidR="16EED588">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16EED588" w:rsidRDefault="16EED588" w14:paraId="6AAF2A6E" w14:textId="5867020E">
      <w:r w:rsidRPr="4C5868D5" w:rsidR="16EED588">
        <w:rPr>
          <w:rFonts w:ascii="Calibri" w:hAnsi="Calibri" w:eastAsia="Calibri" w:cs="Calibri"/>
          <w:b w:val="0"/>
          <w:bCs w:val="0"/>
          <w:i w:val="0"/>
          <w:iCs w:val="0"/>
          <w:caps w:val="0"/>
          <w:smallCaps w:val="0"/>
          <w:noProof w:val="0"/>
          <w:color w:val="242424"/>
          <w:sz w:val="22"/>
          <w:szCs w:val="22"/>
          <w:lang w:val="en-US"/>
        </w:rPr>
        <w:t xml:space="preserve"> </w:t>
      </w:r>
    </w:p>
    <w:tbl>
      <w:tblPr>
        <w:tblStyle w:val="TableNormal"/>
        <w:tblW w:w="0" w:type="auto"/>
        <w:tblLayout w:type="fixed"/>
        <w:tblLook w:val="06A0" w:firstRow="1" w:lastRow="0" w:firstColumn="1" w:lastColumn="0" w:noHBand="1" w:noVBand="1"/>
      </w:tblPr>
      <w:tblGrid>
        <w:gridCol w:w="530"/>
        <w:gridCol w:w="8830"/>
      </w:tblGrid>
      <w:tr w:rsidR="4C5868D5" w:rsidTr="4C5868D5" w14:paraId="7DF06A42">
        <w:tc>
          <w:tcPr>
            <w:tcW w:w="530" w:type="dxa"/>
            <w:tcMar/>
            <w:vAlign w:val="center"/>
          </w:tcPr>
          <w:p w:rsidR="4C5868D5" w:rsidRDefault="4C5868D5" w14:paraId="5156D593" w14:textId="52C425E9"/>
        </w:tc>
        <w:tc>
          <w:tcPr>
            <w:tcW w:w="8830" w:type="dxa"/>
            <w:tcMar/>
            <w:vAlign w:val="center"/>
          </w:tcPr>
          <w:p w:rsidR="4C5868D5" w:rsidRDefault="4C5868D5" w14:paraId="7BB89632" w14:textId="56EC4544">
            <w:r w:rsidRPr="4C5868D5" w:rsidR="4C5868D5">
              <w:rPr>
                <w:rFonts w:ascii="Calibri" w:hAnsi="Calibri" w:eastAsia="Calibri" w:cs="Calibri"/>
                <w:b w:val="1"/>
                <w:bCs w:val="1"/>
                <w:i w:val="0"/>
                <w:iCs w:val="0"/>
                <w:caps w:val="0"/>
                <w:smallCaps w:val="0"/>
                <w:color w:val="2E334E"/>
                <w:sz w:val="18"/>
                <w:szCs w:val="18"/>
              </w:rPr>
              <w:t>Michelle VandenBush</w:t>
            </w:r>
            <w:r>
              <w:br/>
            </w:r>
            <w:r w:rsidRPr="4C5868D5" w:rsidR="4C5868D5">
              <w:rPr>
                <w:rFonts w:ascii="Calibri" w:hAnsi="Calibri" w:eastAsia="Calibri" w:cs="Calibri"/>
                <w:b w:val="1"/>
                <w:bCs w:val="1"/>
                <w:i w:val="0"/>
                <w:iCs w:val="0"/>
                <w:caps w:val="0"/>
                <w:smallCaps w:val="0"/>
                <w:color w:val="2E334E"/>
                <w:sz w:val="18"/>
                <w:szCs w:val="18"/>
              </w:rPr>
              <w:t>Marketing Coordinator</w:t>
            </w:r>
          </w:p>
        </w:tc>
      </w:tr>
      <w:tr w:rsidR="4C5868D5" w:rsidTr="4C5868D5" w14:paraId="4D7113D2">
        <w:tc>
          <w:tcPr>
            <w:tcW w:w="530" w:type="dxa"/>
            <w:tcMar/>
            <w:vAlign w:val="center"/>
          </w:tcPr>
          <w:p w:rsidR="4C5868D5" w:rsidRDefault="4C5868D5" w14:paraId="4BA376FA" w14:textId="4D92DD21">
            <w:r w:rsidRPr="4C5868D5" w:rsidR="4C5868D5">
              <w:rPr>
                <w:rFonts w:ascii="Calibri" w:hAnsi="Calibri" w:eastAsia="Calibri" w:cs="Calibri"/>
                <w:b w:val="0"/>
                <w:bCs w:val="0"/>
                <w:i w:val="0"/>
                <w:iCs w:val="0"/>
                <w:caps w:val="0"/>
                <w:smallCaps w:val="0"/>
                <w:color w:val="242424"/>
                <w:sz w:val="22"/>
                <w:szCs w:val="22"/>
              </w:rPr>
              <w:t xml:space="preserve"> </w:t>
            </w:r>
          </w:p>
        </w:tc>
        <w:tc>
          <w:tcPr>
            <w:tcW w:w="8830" w:type="dxa"/>
            <w:tcMar/>
            <w:vAlign w:val="center"/>
          </w:tcPr>
          <w:p w:rsidR="4C5868D5" w:rsidRDefault="4C5868D5" w14:paraId="03988BB3" w14:textId="695DFE5B">
            <w:r w:rsidRPr="4C5868D5" w:rsidR="4C5868D5">
              <w:rPr>
                <w:rFonts w:ascii="Calibri" w:hAnsi="Calibri" w:eastAsia="Calibri" w:cs="Calibri"/>
                <w:b w:val="1"/>
                <w:bCs w:val="1"/>
                <w:i w:val="0"/>
                <w:iCs w:val="0"/>
                <w:caps w:val="0"/>
                <w:smallCaps w:val="0"/>
                <w:color w:val="2E334E"/>
                <w:sz w:val="18"/>
                <w:szCs w:val="18"/>
              </w:rPr>
              <w:t>Direct 920-455-4137</w:t>
            </w:r>
            <w:r>
              <w:br/>
            </w:r>
            <w:r w:rsidRPr="4C5868D5" w:rsidR="4C5868D5">
              <w:rPr>
                <w:rFonts w:ascii="Calibri" w:hAnsi="Calibri" w:eastAsia="Calibri" w:cs="Calibri"/>
                <w:b w:val="1"/>
                <w:bCs w:val="1"/>
                <w:i w:val="0"/>
                <w:iCs w:val="0"/>
                <w:caps w:val="0"/>
                <w:smallCaps w:val="0"/>
                <w:color w:val="2E334E"/>
                <w:sz w:val="18"/>
                <w:szCs w:val="18"/>
              </w:rPr>
              <w:t>CLA (CliftonLarsonAllen LLP)</w:t>
            </w:r>
            <w:r>
              <w:br/>
            </w:r>
            <w:hyperlink r:id="Rb89013ff2cfa495e">
              <w:r w:rsidRPr="4C5868D5" w:rsidR="4C5868D5">
                <w:rPr>
                  <w:rStyle w:val="Hyperlink"/>
                  <w:rFonts w:ascii="Calibri" w:hAnsi="Calibri" w:eastAsia="Calibri" w:cs="Calibri"/>
                  <w:b w:val="1"/>
                  <w:bCs w:val="1"/>
                  <w:i w:val="0"/>
                  <w:iCs w:val="0"/>
                  <w:caps w:val="0"/>
                  <w:smallCaps w:val="0"/>
                  <w:sz w:val="18"/>
                  <w:szCs w:val="18"/>
                </w:rPr>
                <w:t>michelle.vandenbush@CLAconnect.com</w:t>
              </w:r>
            </w:hyperlink>
          </w:p>
        </w:tc>
      </w:tr>
    </w:tbl>
    <w:p w:rsidR="4C5868D5" w:rsidP="4C5868D5" w:rsidRDefault="4C5868D5" w14:paraId="5B3C613E" w14:textId="5217929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1D8F1B"/>
    <w:rsid w:val="131D8F1B"/>
    <w:rsid w:val="16EED588"/>
    <w:rsid w:val="4C58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8F1B"/>
  <w15:chartTrackingRefBased/>
  <w15:docId w15:val="{60C8200C-F2B3-4720-A451-B45F0B682C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7fea1c6afee04848" Type="http://schemas.openxmlformats.org/officeDocument/2006/relationships/hyperlink" Target="https://www.claglobal.com/disclaimer" TargetMode="External"/><Relationship Id="Rb89013ff2cfa495e" Type="http://schemas.openxmlformats.org/officeDocument/2006/relationships/hyperlink" Target="mailto:michelle.vandenbush@CLAconnect.com" TargetMode="External"/><Relationship Id="rId8" Type="http://schemas.openxmlformats.org/officeDocument/2006/relationships/customXml" Target="../customXml/item3.xml"/><Relationship Id="rId3" Type="http://schemas.openxmlformats.org/officeDocument/2006/relationships/webSettings" Target="webSettings.xml"/><Relationship Id="R8b34f9dccac94ee8" Type="http://schemas.openxmlformats.org/officeDocument/2006/relationships/hyperlink" Target="https://www.claconnect.com/en/media/2022/cla-proudly-announces-career-advancements-and-compensation-cycle-shifts" TargetMode="External"/><Relationship Id="R90d5f02e25e04750" Type="http://schemas.openxmlformats.org/officeDocument/2006/relationships/image" Target="/media/image.png"/><Relationship Id="rId7" Type="http://schemas.openxmlformats.org/officeDocument/2006/relationships/customXml" Target="../customXml/item2.xml"/><Relationship Id="rId2" Type="http://schemas.openxmlformats.org/officeDocument/2006/relationships/settings" Target="settings.xml"/><Relationship Id="R3692cbe700a34151" Type="http://schemas.openxmlformats.org/officeDocument/2006/relationships/hyperlink" Target="https://www.accountingtoday.com/report/the-top-100-firms-and-regional-leaders-2022" TargetMode="External"/><Relationship Id="R872a53679a7a4c19" Type="http://schemas.openxmlformats.org/officeDocument/2006/relationships/hyperlink" Target="https://www.claconnect.com/en/media/2022/cla-earns-great-place-to-work-certification" TargetMode="External"/><Relationship Id="R523b7bf0ad214442" Type="http://schemas.openxmlformats.org/officeDocument/2006/relationships/hyperlink" Target="https://www.claconnect.com/" TargetMode="Externa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6" ma:contentTypeDescription="Create a new document." ma:contentTypeScope="" ma:versionID="54229b6380cb301c83eaca31e27807f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a83223ed9d0d0a0133322c9a50e2a03b"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0fd67b-297d-4b5d-a4f8-2815b50b83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125e00-024d-4b4e-8807-32ec3b7e5138}" ma:internalName="TaxCatchAll" ma:showField="CatchAllData" ma:web="8e2303c3-22ee-4f1e-8e8a-9e6d670c4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c7c0e0-1d3a-4085-b56c-c34a962cf1d0">
      <Terms xmlns="http://schemas.microsoft.com/office/infopath/2007/PartnerControls"/>
    </lcf76f155ced4ddcb4097134ff3c332f>
    <TaxCatchAll xmlns="8e2303c3-22ee-4f1e-8e8a-9e6d670c4fda" xsi:nil="true"/>
  </documentManagement>
</p:properties>
</file>

<file path=customXml/itemProps1.xml><?xml version="1.0" encoding="utf-8"?>
<ds:datastoreItem xmlns:ds="http://schemas.openxmlformats.org/officeDocument/2006/customXml" ds:itemID="{D23251DC-2944-48C2-8EC5-96BA58C4EDF4}"/>
</file>

<file path=customXml/itemProps2.xml><?xml version="1.0" encoding="utf-8"?>
<ds:datastoreItem xmlns:ds="http://schemas.openxmlformats.org/officeDocument/2006/customXml" ds:itemID="{6878BC03-E30F-4E52-87F1-027272AC09F0}"/>
</file>

<file path=customXml/itemProps3.xml><?xml version="1.0" encoding="utf-8"?>
<ds:datastoreItem xmlns:ds="http://schemas.openxmlformats.org/officeDocument/2006/customXml" ds:itemID="{598D8DF0-78A7-47EC-82AA-A89FD2801A2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Cornell</dc:creator>
  <cp:keywords/>
  <dc:description/>
  <cp:lastModifiedBy>Kendra Cornell</cp:lastModifiedBy>
  <dcterms:created xsi:type="dcterms:W3CDTF">2022-11-03T14:43:02Z</dcterms:created>
  <dcterms:modified xsi:type="dcterms:W3CDTF">2022-11-03T14:43:49Z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