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rsidP="5C8A4016" w14:paraId="2C078E63" wp14:textId="1E13CBC5">
      <w:pPr>
        <w:pStyle w:val="Normal"/>
      </w:pPr>
      <w:r w:rsidR="5C8A4016">
        <w:drawing>
          <wp:inline xmlns:wp14="http://schemas.microsoft.com/office/word/2010/wordprocessingDrawing" wp14:editId="2E9CED5E" wp14:anchorId="1026BE4E">
            <wp:extent cx="542925" cy="533400"/>
            <wp:effectExtent l="0" t="0" r="0" b="0"/>
            <wp:docPr id="380065615" name="" title=""/>
            <wp:cNvGraphicFramePr>
              <a:graphicFrameLocks noChangeAspect="1"/>
            </wp:cNvGraphicFramePr>
            <a:graphic>
              <a:graphicData uri="http://schemas.openxmlformats.org/drawingml/2006/picture">
                <pic:pic>
                  <pic:nvPicPr>
                    <pic:cNvPr id="0" name=""/>
                    <pic:cNvPicPr/>
                  </pic:nvPicPr>
                  <pic:blipFill>
                    <a:blip r:embed="Rac3a0395d0454671">
                      <a:extLst>
                        <a:ext xmlns:a="http://schemas.openxmlformats.org/drawingml/2006/main" uri="{28A0092B-C50C-407E-A947-70E740481C1C}">
                          <a14:useLocalDpi val="0"/>
                        </a:ext>
                      </a:extLst>
                    </a:blip>
                    <a:stretch>
                      <a:fillRect/>
                    </a:stretch>
                  </pic:blipFill>
                  <pic:spPr>
                    <a:xfrm>
                      <a:off x="0" y="0"/>
                      <a:ext cx="542925" cy="533400"/>
                    </a:xfrm>
                    <a:prstGeom prst="rect">
                      <a:avLst/>
                    </a:prstGeom>
                  </pic:spPr>
                </pic:pic>
              </a:graphicData>
            </a:graphic>
          </wp:inline>
        </w:drawing>
      </w:r>
    </w:p>
    <w:p w:rsidR="5C8A4016" w:rsidRDefault="5C8A4016" w14:paraId="7B15C88F" w14:textId="35C7DF01">
      <w:r w:rsidRPr="5C8A4016" w:rsidR="5C8A4016">
        <w:rPr>
          <w:rFonts w:ascii="Georgia" w:hAnsi="Georgia" w:eastAsia="Georgia" w:cs="Georgia"/>
          <w:b w:val="0"/>
          <w:bCs w:val="0"/>
          <w:i w:val="0"/>
          <w:iCs w:val="0"/>
          <w:caps w:val="0"/>
          <w:smallCaps w:val="0"/>
          <w:noProof w:val="0"/>
          <w:color w:val="323E4F" w:themeColor="text2" w:themeTint="FF" w:themeShade="BF"/>
          <w:sz w:val="44"/>
          <w:szCs w:val="44"/>
          <w:lang w:val="en-US"/>
        </w:rPr>
        <w:t>CLA Announces Career Advancements in Green Bay Wisconsin</w:t>
      </w:r>
    </w:p>
    <w:p w:rsidR="5C8A4016" w:rsidRDefault="5C8A4016" w14:paraId="437DCECF" w14:textId="1908840F">
      <w:r w:rsidRPr="5C8A4016" w:rsidR="5C8A4016">
        <w:rPr>
          <w:rFonts w:ascii="Calibri" w:hAnsi="Calibri" w:eastAsia="Calibri" w:cs="Calibri"/>
          <w:b w:val="0"/>
          <w:bCs w:val="0"/>
          <w:i w:val="1"/>
          <w:iCs w:val="1"/>
          <w:caps w:val="0"/>
          <w:smallCaps w:val="0"/>
          <w:noProof w:val="0"/>
          <w:color w:val="000000" w:themeColor="text1" w:themeTint="FF" w:themeShade="FF"/>
          <w:sz w:val="28"/>
          <w:szCs w:val="28"/>
          <w:lang w:val="en-US"/>
        </w:rPr>
        <w:t>CLA family members recognized for their accomplishments</w:t>
      </w:r>
    </w:p>
    <w:p w:rsidR="5C8A4016" w:rsidRDefault="5C8A4016" w14:paraId="6773A6C1" w14:textId="6A4DC12A">
      <w:r w:rsidRPr="5C8A4016" w:rsidR="5C8A4016">
        <w:rPr>
          <w:rFonts w:ascii="Calibri" w:hAnsi="Calibri" w:eastAsia="Calibri" w:cs="Calibri"/>
          <w:b w:val="0"/>
          <w:bCs w:val="0"/>
          <w:i w:val="0"/>
          <w:iCs w:val="0"/>
          <w:caps w:val="0"/>
          <w:smallCaps w:val="0"/>
          <w:noProof w:val="0"/>
          <w:color w:val="000000" w:themeColor="text1" w:themeTint="FF" w:themeShade="FF"/>
          <w:sz w:val="22"/>
          <w:szCs w:val="22"/>
          <w:lang w:val="en-US"/>
        </w:rPr>
        <w:t>Green Bay, WI (July 11, 2022) — CLA (CliftonLarsonAllen LLP), the 8th largest accounting firm in the United States, announced career advancements for professionals across the firm effective July 1, including 8 in Green Bay. Historically, such advancements were recognized on November 1. The primary timeframe for advancements and compensation was brought forward four months in response to CLA employee feedback and engagement survey results.</w:t>
      </w:r>
    </w:p>
    <w:p w:rsidR="5C8A4016" w:rsidRDefault="5C8A4016" w14:paraId="05FC06E9" w14:textId="12C2EAB5">
      <w:r w:rsidRPr="5C8A4016" w:rsidR="5C8A4016">
        <w:rPr>
          <w:rFonts w:ascii="Calibri" w:hAnsi="Calibri" w:eastAsia="Calibri" w:cs="Calibri"/>
          <w:b w:val="0"/>
          <w:bCs w:val="0"/>
          <w:i w:val="0"/>
          <w:iCs w:val="0"/>
          <w:caps w:val="0"/>
          <w:smallCaps w:val="0"/>
          <w:noProof w:val="0"/>
          <w:color w:val="000000" w:themeColor="text1" w:themeTint="FF" w:themeShade="FF"/>
          <w:sz w:val="22"/>
          <w:szCs w:val="22"/>
          <w:lang w:val="en-US"/>
        </w:rPr>
        <w:t>CLA believes the best way to serve clients and communities is to support its people in building careers that enable each CLA family member to do more of what they are great at, while matching personal and professional aspirations. The firm offers its people the opportunity to make choices about their career, including uncommon career path choices, the industry they serve, the service capabilities they develop, their geography, and more.</w:t>
      </w:r>
    </w:p>
    <w:p w:rsidR="5C8A4016" w:rsidRDefault="5C8A4016" w14:paraId="388D35A5" w14:textId="0755FF7F">
      <w:r w:rsidRPr="5C8A4016" w:rsidR="5C8A4016">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en-US"/>
        </w:rPr>
        <w:t>Congratulations to the following individuals in Green Bay who have reached new stages in their chosen career paths:</w:t>
      </w:r>
    </w:p>
    <w:p w:rsidR="5C8A4016" w:rsidP="5C8A4016" w:rsidRDefault="5C8A4016" w14:paraId="5E53B970" w14:textId="7CC3C264">
      <w:pPr>
        <w:ind w:left="360" w:hanging="360"/>
      </w:pPr>
      <w:r w:rsidRPr="5C8A4016" w:rsidR="5C8A4016">
        <w:rPr>
          <w:rFonts w:ascii="Symbol" w:hAnsi="Symbol" w:eastAsia="Symbol" w:cs="Symbol"/>
          <w:b w:val="0"/>
          <w:bCs w:val="0"/>
          <w:i w:val="0"/>
          <w:iCs w:val="0"/>
          <w:caps w:val="0"/>
          <w:smallCaps w:val="0"/>
          <w:noProof w:val="0"/>
          <w:color w:val="ACACA7"/>
          <w:sz w:val="22"/>
          <w:szCs w:val="22"/>
          <w:lang w:val="en-US"/>
        </w:rPr>
        <w:t>·</w:t>
      </w:r>
      <w:r w:rsidRPr="5C8A4016" w:rsidR="5C8A4016">
        <w:rPr>
          <w:rFonts w:ascii="Times New Roman" w:hAnsi="Times New Roman" w:eastAsia="Times New Roman" w:cs="Times New Roman"/>
          <w:b w:val="0"/>
          <w:bCs w:val="0"/>
          <w:i w:val="0"/>
          <w:iCs w:val="0"/>
          <w:caps w:val="0"/>
          <w:smallCaps w:val="0"/>
          <w:noProof w:val="0"/>
          <w:color w:val="ACACA7"/>
          <w:sz w:val="14"/>
          <w:szCs w:val="14"/>
          <w:lang w:val="en-US"/>
        </w:rPr>
        <w:t xml:space="preserve">         </w:t>
      </w:r>
      <w:r w:rsidRPr="5C8A4016" w:rsidR="5C8A4016">
        <w:rPr>
          <w:rFonts w:ascii="Calibri" w:hAnsi="Calibri" w:eastAsia="Calibri" w:cs="Calibri"/>
          <w:b w:val="0"/>
          <w:bCs w:val="0"/>
          <w:i w:val="0"/>
          <w:iCs w:val="0"/>
          <w:caps w:val="0"/>
          <w:smallCaps w:val="0"/>
          <w:noProof w:val="0"/>
          <w:color w:val="000000" w:themeColor="text1" w:themeTint="FF" w:themeShade="FF"/>
          <w:sz w:val="22"/>
          <w:szCs w:val="22"/>
          <w:lang w:val="en-US"/>
        </w:rPr>
        <w:t>Claire Carviou, Senior</w:t>
      </w:r>
    </w:p>
    <w:p w:rsidR="5C8A4016" w:rsidP="5C8A4016" w:rsidRDefault="5C8A4016" w14:paraId="387BF803" w14:textId="7D87CDD8">
      <w:pPr>
        <w:ind w:left="360" w:hanging="360"/>
      </w:pPr>
      <w:r w:rsidRPr="5C8A4016" w:rsidR="5C8A4016">
        <w:rPr>
          <w:rFonts w:ascii="Symbol" w:hAnsi="Symbol" w:eastAsia="Symbol" w:cs="Symbol"/>
          <w:b w:val="0"/>
          <w:bCs w:val="0"/>
          <w:i w:val="0"/>
          <w:iCs w:val="0"/>
          <w:caps w:val="0"/>
          <w:smallCaps w:val="0"/>
          <w:noProof w:val="0"/>
          <w:color w:val="ACACA7"/>
          <w:sz w:val="22"/>
          <w:szCs w:val="22"/>
          <w:lang w:val="en-US"/>
        </w:rPr>
        <w:t>·</w:t>
      </w:r>
      <w:r w:rsidRPr="5C8A4016" w:rsidR="5C8A4016">
        <w:rPr>
          <w:rFonts w:ascii="Times New Roman" w:hAnsi="Times New Roman" w:eastAsia="Times New Roman" w:cs="Times New Roman"/>
          <w:b w:val="0"/>
          <w:bCs w:val="0"/>
          <w:i w:val="0"/>
          <w:iCs w:val="0"/>
          <w:caps w:val="0"/>
          <w:smallCaps w:val="0"/>
          <w:noProof w:val="0"/>
          <w:color w:val="ACACA7"/>
          <w:sz w:val="14"/>
          <w:szCs w:val="14"/>
          <w:lang w:val="en-US"/>
        </w:rPr>
        <w:t xml:space="preserve">         </w:t>
      </w:r>
      <w:r w:rsidRPr="5C8A4016" w:rsidR="5C8A4016">
        <w:rPr>
          <w:rFonts w:ascii="Calibri" w:hAnsi="Calibri" w:eastAsia="Calibri" w:cs="Calibri"/>
          <w:b w:val="0"/>
          <w:bCs w:val="0"/>
          <w:i w:val="0"/>
          <w:iCs w:val="0"/>
          <w:caps w:val="0"/>
          <w:smallCaps w:val="0"/>
          <w:noProof w:val="0"/>
          <w:color w:val="000000" w:themeColor="text1" w:themeTint="FF" w:themeShade="FF"/>
          <w:sz w:val="22"/>
          <w:szCs w:val="22"/>
          <w:lang w:val="en-US"/>
        </w:rPr>
        <w:t>Cheryl Donaldson, Talent Acquisition Director</w:t>
      </w:r>
    </w:p>
    <w:p w:rsidR="5C8A4016" w:rsidP="5C8A4016" w:rsidRDefault="5C8A4016" w14:paraId="2E210392" w14:textId="4117A7C2">
      <w:pPr>
        <w:ind w:left="360" w:hanging="360"/>
      </w:pPr>
      <w:r w:rsidRPr="5C8A4016" w:rsidR="5C8A4016">
        <w:rPr>
          <w:rFonts w:ascii="Symbol" w:hAnsi="Symbol" w:eastAsia="Symbol" w:cs="Symbol"/>
          <w:b w:val="0"/>
          <w:bCs w:val="0"/>
          <w:i w:val="0"/>
          <w:iCs w:val="0"/>
          <w:caps w:val="0"/>
          <w:smallCaps w:val="0"/>
          <w:noProof w:val="0"/>
          <w:color w:val="ACACA7"/>
          <w:sz w:val="22"/>
          <w:szCs w:val="22"/>
          <w:lang w:val="en-US"/>
        </w:rPr>
        <w:t>·</w:t>
      </w:r>
      <w:r w:rsidRPr="5C8A4016" w:rsidR="5C8A4016">
        <w:rPr>
          <w:rFonts w:ascii="Times New Roman" w:hAnsi="Times New Roman" w:eastAsia="Times New Roman" w:cs="Times New Roman"/>
          <w:b w:val="0"/>
          <w:bCs w:val="0"/>
          <w:i w:val="0"/>
          <w:iCs w:val="0"/>
          <w:caps w:val="0"/>
          <w:smallCaps w:val="0"/>
          <w:noProof w:val="0"/>
          <w:color w:val="ACACA7"/>
          <w:sz w:val="14"/>
          <w:szCs w:val="14"/>
          <w:lang w:val="en-US"/>
        </w:rPr>
        <w:t xml:space="preserve">         </w:t>
      </w:r>
      <w:r w:rsidRPr="5C8A4016" w:rsidR="5C8A4016">
        <w:rPr>
          <w:rFonts w:ascii="Calibri" w:hAnsi="Calibri" w:eastAsia="Calibri" w:cs="Calibri"/>
          <w:b w:val="0"/>
          <w:bCs w:val="0"/>
          <w:i w:val="0"/>
          <w:iCs w:val="0"/>
          <w:caps w:val="0"/>
          <w:smallCaps w:val="0"/>
          <w:noProof w:val="0"/>
          <w:color w:val="000000" w:themeColor="text1" w:themeTint="FF" w:themeShade="FF"/>
          <w:sz w:val="22"/>
          <w:szCs w:val="22"/>
          <w:lang w:val="en-US"/>
        </w:rPr>
        <w:t>Marissa O’Leary, BizOps Staff</w:t>
      </w:r>
    </w:p>
    <w:p w:rsidR="5C8A4016" w:rsidP="5C8A4016" w:rsidRDefault="5C8A4016" w14:paraId="5F2A3639" w14:textId="14675C85">
      <w:pPr>
        <w:ind w:left="360" w:hanging="360"/>
      </w:pPr>
      <w:r w:rsidRPr="5C8A4016" w:rsidR="5C8A4016">
        <w:rPr>
          <w:rFonts w:ascii="Symbol" w:hAnsi="Symbol" w:eastAsia="Symbol" w:cs="Symbol"/>
          <w:b w:val="0"/>
          <w:bCs w:val="0"/>
          <w:i w:val="0"/>
          <w:iCs w:val="0"/>
          <w:caps w:val="0"/>
          <w:smallCaps w:val="0"/>
          <w:noProof w:val="0"/>
          <w:color w:val="ACACA7"/>
          <w:sz w:val="22"/>
          <w:szCs w:val="22"/>
          <w:lang w:val="en-US"/>
        </w:rPr>
        <w:t>·</w:t>
      </w:r>
      <w:r w:rsidRPr="5C8A4016" w:rsidR="5C8A4016">
        <w:rPr>
          <w:rFonts w:ascii="Times New Roman" w:hAnsi="Times New Roman" w:eastAsia="Times New Roman" w:cs="Times New Roman"/>
          <w:b w:val="0"/>
          <w:bCs w:val="0"/>
          <w:i w:val="0"/>
          <w:iCs w:val="0"/>
          <w:caps w:val="0"/>
          <w:smallCaps w:val="0"/>
          <w:noProof w:val="0"/>
          <w:color w:val="ACACA7"/>
          <w:sz w:val="14"/>
          <w:szCs w:val="14"/>
          <w:lang w:val="en-US"/>
        </w:rPr>
        <w:t xml:space="preserve">         </w:t>
      </w:r>
      <w:r w:rsidRPr="5C8A4016" w:rsidR="5C8A4016">
        <w:rPr>
          <w:rFonts w:ascii="Calibri" w:hAnsi="Calibri" w:eastAsia="Calibri" w:cs="Calibri"/>
          <w:b w:val="0"/>
          <w:bCs w:val="0"/>
          <w:i w:val="0"/>
          <w:iCs w:val="0"/>
          <w:caps w:val="0"/>
          <w:smallCaps w:val="0"/>
          <w:noProof w:val="0"/>
          <w:color w:val="000000" w:themeColor="text1" w:themeTint="FF" w:themeShade="FF"/>
          <w:sz w:val="22"/>
          <w:szCs w:val="22"/>
          <w:lang w:val="en-US"/>
        </w:rPr>
        <w:t>Nicole Kozlovsky, Manager</w:t>
      </w:r>
    </w:p>
    <w:p w:rsidR="5C8A4016" w:rsidP="5C8A4016" w:rsidRDefault="5C8A4016" w14:paraId="0E1F6671" w14:textId="101D4580">
      <w:pPr>
        <w:ind w:left="360" w:hanging="360"/>
      </w:pPr>
      <w:r w:rsidRPr="5C8A4016" w:rsidR="5C8A4016">
        <w:rPr>
          <w:rFonts w:ascii="Symbol" w:hAnsi="Symbol" w:eastAsia="Symbol" w:cs="Symbol"/>
          <w:b w:val="0"/>
          <w:bCs w:val="0"/>
          <w:i w:val="0"/>
          <w:iCs w:val="0"/>
          <w:caps w:val="0"/>
          <w:smallCaps w:val="0"/>
          <w:noProof w:val="0"/>
          <w:color w:val="ACACA7"/>
          <w:sz w:val="22"/>
          <w:szCs w:val="22"/>
          <w:lang w:val="en-US"/>
        </w:rPr>
        <w:t>·</w:t>
      </w:r>
      <w:r w:rsidRPr="5C8A4016" w:rsidR="5C8A4016">
        <w:rPr>
          <w:rFonts w:ascii="Times New Roman" w:hAnsi="Times New Roman" w:eastAsia="Times New Roman" w:cs="Times New Roman"/>
          <w:b w:val="0"/>
          <w:bCs w:val="0"/>
          <w:i w:val="0"/>
          <w:iCs w:val="0"/>
          <w:caps w:val="0"/>
          <w:smallCaps w:val="0"/>
          <w:noProof w:val="0"/>
          <w:color w:val="ACACA7"/>
          <w:sz w:val="14"/>
          <w:szCs w:val="14"/>
          <w:lang w:val="en-US"/>
        </w:rPr>
        <w:t xml:space="preserve">         </w:t>
      </w:r>
      <w:r w:rsidRPr="5C8A4016" w:rsidR="5C8A4016">
        <w:rPr>
          <w:rFonts w:ascii="Calibri" w:hAnsi="Calibri" w:eastAsia="Calibri" w:cs="Calibri"/>
          <w:b w:val="0"/>
          <w:bCs w:val="0"/>
          <w:i w:val="0"/>
          <w:iCs w:val="0"/>
          <w:caps w:val="0"/>
          <w:smallCaps w:val="0"/>
          <w:noProof w:val="0"/>
          <w:color w:val="000000" w:themeColor="text1" w:themeTint="FF" w:themeShade="FF"/>
          <w:sz w:val="22"/>
          <w:szCs w:val="22"/>
          <w:lang w:val="en-US"/>
        </w:rPr>
        <w:t>Melissa Pearce, Senior</w:t>
      </w:r>
    </w:p>
    <w:p w:rsidR="5C8A4016" w:rsidP="5C8A4016" w:rsidRDefault="5C8A4016" w14:paraId="30F1E78B" w14:textId="5218ABAE">
      <w:pPr>
        <w:ind w:left="360" w:hanging="360"/>
      </w:pPr>
      <w:r w:rsidRPr="5C8A4016" w:rsidR="5C8A4016">
        <w:rPr>
          <w:rFonts w:ascii="Symbol" w:hAnsi="Symbol" w:eastAsia="Symbol" w:cs="Symbol"/>
          <w:b w:val="0"/>
          <w:bCs w:val="0"/>
          <w:i w:val="0"/>
          <w:iCs w:val="0"/>
          <w:caps w:val="0"/>
          <w:smallCaps w:val="0"/>
          <w:noProof w:val="0"/>
          <w:color w:val="ACACA7"/>
          <w:sz w:val="22"/>
          <w:szCs w:val="22"/>
          <w:lang w:val="en-US"/>
        </w:rPr>
        <w:t>·</w:t>
      </w:r>
      <w:r w:rsidRPr="5C8A4016" w:rsidR="5C8A4016">
        <w:rPr>
          <w:rFonts w:ascii="Times New Roman" w:hAnsi="Times New Roman" w:eastAsia="Times New Roman" w:cs="Times New Roman"/>
          <w:b w:val="0"/>
          <w:bCs w:val="0"/>
          <w:i w:val="0"/>
          <w:iCs w:val="0"/>
          <w:caps w:val="0"/>
          <w:smallCaps w:val="0"/>
          <w:noProof w:val="0"/>
          <w:color w:val="ACACA7"/>
          <w:sz w:val="14"/>
          <w:szCs w:val="14"/>
          <w:lang w:val="en-US"/>
        </w:rPr>
        <w:t xml:space="preserve">         </w:t>
      </w:r>
      <w:r w:rsidRPr="5C8A4016" w:rsidR="5C8A4016">
        <w:rPr>
          <w:rFonts w:ascii="Calibri" w:hAnsi="Calibri" w:eastAsia="Calibri" w:cs="Calibri"/>
          <w:b w:val="0"/>
          <w:bCs w:val="0"/>
          <w:i w:val="0"/>
          <w:iCs w:val="0"/>
          <w:caps w:val="0"/>
          <w:smallCaps w:val="0"/>
          <w:noProof w:val="0"/>
          <w:color w:val="000000" w:themeColor="text1" w:themeTint="FF" w:themeShade="FF"/>
          <w:sz w:val="22"/>
          <w:szCs w:val="22"/>
          <w:lang w:val="en-US"/>
        </w:rPr>
        <w:t>Nicole Schuurmans, Senior</w:t>
      </w:r>
    </w:p>
    <w:p w:rsidR="5C8A4016" w:rsidP="5C8A4016" w:rsidRDefault="5C8A4016" w14:paraId="18D74F03" w14:textId="7BE2C5F0">
      <w:pPr>
        <w:ind w:left="360" w:hanging="360"/>
      </w:pPr>
      <w:r w:rsidRPr="5C8A4016" w:rsidR="5C8A4016">
        <w:rPr>
          <w:rFonts w:ascii="Symbol" w:hAnsi="Symbol" w:eastAsia="Symbol" w:cs="Symbol"/>
          <w:b w:val="0"/>
          <w:bCs w:val="0"/>
          <w:i w:val="0"/>
          <w:iCs w:val="0"/>
          <w:caps w:val="0"/>
          <w:smallCaps w:val="0"/>
          <w:noProof w:val="0"/>
          <w:color w:val="ACACA7"/>
          <w:sz w:val="22"/>
          <w:szCs w:val="22"/>
          <w:lang w:val="en-US"/>
        </w:rPr>
        <w:t>·</w:t>
      </w:r>
      <w:r w:rsidRPr="5C8A4016" w:rsidR="5C8A4016">
        <w:rPr>
          <w:rFonts w:ascii="Times New Roman" w:hAnsi="Times New Roman" w:eastAsia="Times New Roman" w:cs="Times New Roman"/>
          <w:b w:val="0"/>
          <w:bCs w:val="0"/>
          <w:i w:val="0"/>
          <w:iCs w:val="0"/>
          <w:caps w:val="0"/>
          <w:smallCaps w:val="0"/>
          <w:noProof w:val="0"/>
          <w:color w:val="ACACA7"/>
          <w:sz w:val="14"/>
          <w:szCs w:val="14"/>
          <w:lang w:val="en-US"/>
        </w:rPr>
        <w:t xml:space="preserve">         </w:t>
      </w:r>
      <w:r w:rsidRPr="5C8A4016" w:rsidR="5C8A4016">
        <w:rPr>
          <w:rFonts w:ascii="Calibri" w:hAnsi="Calibri" w:eastAsia="Calibri" w:cs="Calibri"/>
          <w:b w:val="0"/>
          <w:bCs w:val="0"/>
          <w:i w:val="0"/>
          <w:iCs w:val="0"/>
          <w:caps w:val="0"/>
          <w:smallCaps w:val="0"/>
          <w:noProof w:val="0"/>
          <w:color w:val="000000" w:themeColor="text1" w:themeTint="FF" w:themeShade="FF"/>
          <w:sz w:val="22"/>
          <w:szCs w:val="22"/>
          <w:lang w:val="en-US"/>
        </w:rPr>
        <w:t>Steven Sellers, Senior</w:t>
      </w:r>
    </w:p>
    <w:p w:rsidR="5C8A4016" w:rsidP="5C8A4016" w:rsidRDefault="5C8A4016" w14:paraId="06C7F831" w14:textId="347C3765">
      <w:pPr>
        <w:ind w:left="360" w:hanging="360"/>
      </w:pPr>
      <w:r w:rsidRPr="5C8A4016" w:rsidR="5C8A4016">
        <w:rPr>
          <w:rFonts w:ascii="Symbol" w:hAnsi="Symbol" w:eastAsia="Symbol" w:cs="Symbol"/>
          <w:b w:val="0"/>
          <w:bCs w:val="0"/>
          <w:i w:val="0"/>
          <w:iCs w:val="0"/>
          <w:caps w:val="0"/>
          <w:smallCaps w:val="0"/>
          <w:noProof w:val="0"/>
          <w:color w:val="ACACA7"/>
          <w:sz w:val="22"/>
          <w:szCs w:val="22"/>
          <w:lang w:val="en-US"/>
        </w:rPr>
        <w:t>·</w:t>
      </w:r>
      <w:r w:rsidRPr="5C8A4016" w:rsidR="5C8A4016">
        <w:rPr>
          <w:rFonts w:ascii="Times New Roman" w:hAnsi="Times New Roman" w:eastAsia="Times New Roman" w:cs="Times New Roman"/>
          <w:b w:val="0"/>
          <w:bCs w:val="0"/>
          <w:i w:val="0"/>
          <w:iCs w:val="0"/>
          <w:caps w:val="0"/>
          <w:smallCaps w:val="0"/>
          <w:noProof w:val="0"/>
          <w:color w:val="ACACA7"/>
          <w:sz w:val="14"/>
          <w:szCs w:val="14"/>
          <w:lang w:val="en-US"/>
        </w:rPr>
        <w:t xml:space="preserve">         </w:t>
      </w:r>
      <w:r w:rsidRPr="5C8A4016" w:rsidR="5C8A4016">
        <w:rPr>
          <w:rFonts w:ascii="Calibri" w:hAnsi="Calibri" w:eastAsia="Calibri" w:cs="Calibri"/>
          <w:b w:val="0"/>
          <w:bCs w:val="0"/>
          <w:i w:val="0"/>
          <w:iCs w:val="0"/>
          <w:caps w:val="0"/>
          <w:smallCaps w:val="0"/>
          <w:noProof w:val="0"/>
          <w:color w:val="000000" w:themeColor="text1" w:themeTint="FF" w:themeShade="FF"/>
          <w:sz w:val="22"/>
          <w:szCs w:val="22"/>
          <w:lang w:val="en-US"/>
        </w:rPr>
        <w:t>Mandy Wegner, Senior</w:t>
      </w:r>
    </w:p>
    <w:p w:rsidR="5C8A4016" w:rsidRDefault="5C8A4016" w14:paraId="4C66A207" w14:textId="5CCA93C9">
      <w:r w:rsidRPr="5C8A4016" w:rsidR="5C8A4016">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p>
    <w:p w:rsidR="5C8A4016" w:rsidRDefault="5C8A4016" w14:paraId="5A16A229" w14:textId="2F2E04F3">
      <w:r w:rsidRPr="5C8A4016" w:rsidR="5C8A4016">
        <w:rPr>
          <w:rFonts w:ascii="Calibri" w:hAnsi="Calibri" w:eastAsia="Calibri" w:cs="Calibri"/>
          <w:b w:val="0"/>
          <w:bCs w:val="0"/>
          <w:i w:val="0"/>
          <w:iCs w:val="0"/>
          <w:caps w:val="0"/>
          <w:smallCaps w:val="0"/>
          <w:noProof w:val="0"/>
          <w:color w:val="000000" w:themeColor="text1" w:themeTint="FF" w:themeShade="FF"/>
          <w:sz w:val="22"/>
          <w:szCs w:val="22"/>
          <w:lang w:val="en-US"/>
        </w:rPr>
        <w:t>Each year CLA makes compensation and advancement decisions through an inclusive and collaborative process. These decisions are made by coaches and leaders who take time to know and help our CLA family members live their inspired careers.</w:t>
      </w:r>
    </w:p>
    <w:p w:rsidR="5C8A4016" w:rsidRDefault="5C8A4016" w14:paraId="14107FDE" w14:textId="377BBB1C">
      <w:r w:rsidRPr="5C8A4016" w:rsidR="5C8A4016">
        <w:rPr>
          <w:rFonts w:ascii="Calibri" w:hAnsi="Calibri" w:eastAsia="Calibri" w:cs="Calibri"/>
          <w:b w:val="0"/>
          <w:bCs w:val="0"/>
          <w:i w:val="0"/>
          <w:iCs w:val="0"/>
          <w:caps w:val="0"/>
          <w:smallCaps w:val="0"/>
          <w:noProof w:val="0"/>
          <w:color w:val="000000" w:themeColor="text1" w:themeTint="FF" w:themeShade="FF"/>
          <w:sz w:val="22"/>
          <w:szCs w:val="22"/>
          <w:lang w:val="en-US"/>
        </w:rPr>
        <w:t>Principal and signing director advancement events will continue to be recognized on November 1 of each year.</w:t>
      </w:r>
    </w:p>
    <w:p w:rsidR="5C8A4016" w:rsidRDefault="5C8A4016" w14:paraId="737D1419" w14:textId="6CDBB159">
      <w:r w:rsidRPr="5C8A4016" w:rsidR="5C8A4016">
        <w:rPr>
          <w:rFonts w:ascii="Calibri" w:hAnsi="Calibri" w:eastAsia="Calibri" w:cs="Calibri"/>
          <w:b w:val="0"/>
          <w:bCs w:val="0"/>
          <w:i w:val="0"/>
          <w:iCs w:val="0"/>
          <w:caps w:val="0"/>
          <w:smallCaps w:val="0"/>
          <w:noProof w:val="0"/>
          <w:color w:val="000000" w:themeColor="text1" w:themeTint="FF" w:themeShade="FF"/>
          <w:sz w:val="22"/>
          <w:szCs w:val="22"/>
          <w:lang w:val="en-US"/>
        </w:rPr>
        <w:t xml:space="preserve">2022 marks the fifth consecutive year CLA has ranked number eight in the </w:t>
      </w:r>
      <w:hyperlink r:id="R740804c02865420d">
        <w:r w:rsidRPr="5C8A4016" w:rsidR="5C8A4016">
          <w:rPr>
            <w:rStyle w:val="Hyperlink"/>
            <w:rFonts w:ascii="Calibri" w:hAnsi="Calibri" w:eastAsia="Calibri" w:cs="Calibri"/>
            <w:b w:val="0"/>
            <w:bCs w:val="0"/>
            <w:i w:val="1"/>
            <w:iCs w:val="1"/>
            <w:caps w:val="0"/>
            <w:smallCaps w:val="0"/>
            <w:strike w:val="0"/>
            <w:dstrike w:val="0"/>
            <w:noProof w:val="0"/>
            <w:sz w:val="22"/>
            <w:szCs w:val="22"/>
            <w:lang w:val="en-US"/>
          </w:rPr>
          <w:t>Accounting Today</w:t>
        </w:r>
        <w:r w:rsidRPr="5C8A4016" w:rsidR="5C8A4016">
          <w:rPr>
            <w:rStyle w:val="Hyperlink"/>
            <w:rFonts w:ascii="Calibri" w:hAnsi="Calibri" w:eastAsia="Calibri" w:cs="Calibri"/>
            <w:b w:val="0"/>
            <w:bCs w:val="0"/>
            <w:i w:val="0"/>
            <w:iCs w:val="0"/>
            <w:caps w:val="0"/>
            <w:smallCaps w:val="0"/>
            <w:strike w:val="0"/>
            <w:dstrike w:val="0"/>
            <w:noProof w:val="0"/>
            <w:sz w:val="22"/>
            <w:szCs w:val="22"/>
            <w:lang w:val="en-US"/>
          </w:rPr>
          <w:t xml:space="preserve"> Top 100 Firms List</w:t>
        </w:r>
      </w:hyperlink>
      <w:r w:rsidRPr="5C8A4016" w:rsidR="5C8A4016">
        <w:rPr>
          <w:rFonts w:ascii="Calibri" w:hAnsi="Calibri" w:eastAsia="Calibri" w:cs="Calibri"/>
          <w:b w:val="0"/>
          <w:bCs w:val="0"/>
          <w:i w:val="0"/>
          <w:iCs w:val="0"/>
          <w:caps w:val="0"/>
          <w:smallCaps w:val="0"/>
          <w:noProof w:val="0"/>
          <w:color w:val="000000" w:themeColor="text1" w:themeTint="FF" w:themeShade="FF"/>
          <w:sz w:val="22"/>
          <w:szCs w:val="22"/>
          <w:lang w:val="en-US"/>
        </w:rPr>
        <w:t>. Of the overall top 100 firms, CLA placed among the top 25 pacesetters in growth with total 2021 revenue growth in excess of 20%, including 9.9% organic growth.</w:t>
      </w:r>
    </w:p>
    <w:p w:rsidR="5C8A4016" w:rsidRDefault="5C8A4016" w14:paraId="5F1FF02E" w14:textId="56B0FD6F">
      <w:r w:rsidRPr="5C8A4016" w:rsidR="5C8A4016">
        <w:rPr>
          <w:rFonts w:ascii="Calibri" w:hAnsi="Calibri" w:eastAsia="Calibri" w:cs="Calibri"/>
          <w:b w:val="0"/>
          <w:bCs w:val="0"/>
          <w:i w:val="0"/>
          <w:iCs w:val="0"/>
          <w:caps w:val="0"/>
          <w:smallCaps w:val="0"/>
          <w:noProof w:val="0"/>
          <w:color w:val="000000" w:themeColor="text1" w:themeTint="FF" w:themeShade="FF"/>
          <w:sz w:val="22"/>
          <w:szCs w:val="22"/>
          <w:lang w:val="en-US"/>
        </w:rPr>
        <w:t>Please join us in celebrating the achievements of our people and the many ways they know and help our clients and our firm, creating opportunities along the way.</w:t>
      </w:r>
    </w:p>
    <w:p w:rsidR="5C8A4016" w:rsidRDefault="5C8A4016" w14:paraId="4551B87B" w14:textId="0367E168">
      <w:r w:rsidRPr="5C8A4016" w:rsidR="5C8A4016">
        <w:rPr>
          <w:rFonts w:ascii="Calibri" w:hAnsi="Calibri" w:eastAsia="Calibri" w:cs="Calibri"/>
          <w:b w:val="1"/>
          <w:bCs w:val="1"/>
          <w:i w:val="0"/>
          <w:iCs w:val="0"/>
          <w:caps w:val="0"/>
          <w:smallCaps w:val="0"/>
          <w:noProof w:val="0"/>
          <w:color w:val="000000" w:themeColor="text1" w:themeTint="FF" w:themeShade="FF"/>
          <w:sz w:val="28"/>
          <w:szCs w:val="28"/>
          <w:lang w:val="en-US"/>
        </w:rPr>
        <w:t>About CLA</w:t>
      </w:r>
    </w:p>
    <w:p w:rsidR="5C8A4016" w:rsidRDefault="5C8A4016" w14:paraId="53D2650D" w14:textId="7D8C0981">
      <w:r w:rsidRPr="5C8A4016" w:rsidR="5C8A4016">
        <w:rPr>
          <w:rFonts w:ascii="Calibri" w:hAnsi="Calibri" w:eastAsia="Calibri" w:cs="Calibri"/>
          <w:b w:val="0"/>
          <w:bCs w:val="0"/>
          <w:i w:val="0"/>
          <w:iCs w:val="0"/>
          <w:caps w:val="0"/>
          <w:smallCaps w:val="0"/>
          <w:noProof w:val="0"/>
          <w:color w:val="000000" w:themeColor="text1" w:themeTint="FF" w:themeShade="FF"/>
          <w:sz w:val="22"/>
          <w:szCs w:val="22"/>
          <w:lang w:val="en-US"/>
        </w:rPr>
        <w:t xml:space="preserve">CLA exists to create opportunities for our clients, our people, and our communities through industry-focused wealth advisory, outsourcing, audit, tax, and consulting services. With more than 7,500 people, 121 U.S. locations, and a global vision, we promise to know you and help you. For more information, visit </w:t>
      </w:r>
      <w:hyperlink r:id="R3b347678f0b74274">
        <w:r w:rsidRPr="5C8A4016" w:rsidR="5C8A4016">
          <w:rPr>
            <w:rStyle w:val="Hyperlink"/>
            <w:rFonts w:ascii="Calibri" w:hAnsi="Calibri" w:eastAsia="Calibri" w:cs="Calibri"/>
            <w:b w:val="0"/>
            <w:bCs w:val="0"/>
            <w:i w:val="0"/>
            <w:iCs w:val="0"/>
            <w:caps w:val="0"/>
            <w:smallCaps w:val="0"/>
            <w:strike w:val="0"/>
            <w:dstrike w:val="0"/>
            <w:noProof w:val="0"/>
            <w:sz w:val="22"/>
            <w:szCs w:val="22"/>
            <w:lang w:val="en-US"/>
          </w:rPr>
          <w:t>CLAconnect.com</w:t>
        </w:r>
      </w:hyperlink>
      <w:r w:rsidRPr="5C8A4016" w:rsidR="5C8A4016">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r w:rsidRPr="5C8A4016" w:rsidR="5C8A4016">
        <w:rPr>
          <w:rFonts w:ascii="Calibri" w:hAnsi="Calibri" w:eastAsia="Calibri" w:cs="Calibri"/>
          <w:b w:val="0"/>
          <w:bCs w:val="0"/>
          <w:i w:val="1"/>
          <w:iCs w:val="1"/>
          <w:caps w:val="0"/>
          <w:smallCaps w:val="0"/>
          <w:noProof w:val="0"/>
          <w:color w:val="404041"/>
          <w:sz w:val="21"/>
          <w:szCs w:val="21"/>
          <w:lang w:val="en-US"/>
        </w:rPr>
        <w:t xml:space="preserve">CLA (CliftonLarsonAllen LLP) is an independent network member of CLA Global. See </w:t>
      </w:r>
      <w:hyperlink r:id="R2060608e27f84484">
        <w:r w:rsidRPr="5C8A4016" w:rsidR="5C8A4016">
          <w:rPr>
            <w:rStyle w:val="Hyperlink"/>
            <w:rFonts w:ascii="Calibri" w:hAnsi="Calibri" w:eastAsia="Calibri" w:cs="Calibri"/>
            <w:b w:val="0"/>
            <w:bCs w:val="0"/>
            <w:i w:val="1"/>
            <w:iCs w:val="1"/>
            <w:caps w:val="0"/>
            <w:smallCaps w:val="0"/>
            <w:strike w:val="0"/>
            <w:dstrike w:val="0"/>
            <w:noProof w:val="0"/>
            <w:sz w:val="21"/>
            <w:szCs w:val="21"/>
            <w:lang w:val="en-US"/>
          </w:rPr>
          <w:t>CLAglobal.com/disclaimer</w:t>
        </w:r>
      </w:hyperlink>
      <w:r w:rsidRPr="5C8A4016" w:rsidR="5C8A4016">
        <w:rPr>
          <w:rFonts w:ascii="Calibri" w:hAnsi="Calibri" w:eastAsia="Calibri" w:cs="Calibri"/>
          <w:b w:val="0"/>
          <w:bCs w:val="0"/>
          <w:i w:val="1"/>
          <w:iCs w:val="1"/>
          <w:caps w:val="0"/>
          <w:smallCaps w:val="0"/>
          <w:noProof w:val="0"/>
          <w:color w:val="404041"/>
          <w:sz w:val="21"/>
          <w:szCs w:val="21"/>
          <w:lang w:val="en-US"/>
        </w:rPr>
        <w:t xml:space="preserve">. </w:t>
      </w:r>
      <w:r w:rsidRPr="5C8A4016" w:rsidR="5C8A4016">
        <w:rPr>
          <w:rFonts w:ascii="Calibri" w:hAnsi="Calibri" w:eastAsia="Calibri" w:cs="Calibri"/>
          <w:b w:val="0"/>
          <w:bCs w:val="0"/>
          <w:i w:val="1"/>
          <w:iCs w:val="1"/>
          <w:caps w:val="0"/>
          <w:smallCaps w:val="0"/>
          <w:noProof w:val="0"/>
          <w:color w:val="000000" w:themeColor="text1" w:themeTint="FF" w:themeShade="FF"/>
          <w:sz w:val="22"/>
          <w:szCs w:val="22"/>
          <w:lang w:val="en-US"/>
        </w:rPr>
        <w:t>Investment advisory services are offered through CliftonLarsonAllen Wealth Advisors, LLC, an SEC-registered investment advisor.</w:t>
      </w:r>
    </w:p>
    <w:tbl>
      <w:tblPr>
        <w:tblStyle w:val="TableNormal"/>
        <w:tblW w:w="0" w:type="auto"/>
        <w:tblLayout w:type="fixed"/>
        <w:tblLook w:val="06A0" w:firstRow="1" w:lastRow="0" w:firstColumn="1" w:lastColumn="0" w:noHBand="1" w:noVBand="1"/>
      </w:tblPr>
      <w:tblGrid>
        <w:gridCol w:w="530"/>
        <w:gridCol w:w="8830"/>
      </w:tblGrid>
      <w:tr w:rsidR="5C8A4016" w:rsidTr="5C8A4016" w14:paraId="73663A31">
        <w:tc>
          <w:tcPr>
            <w:tcW w:w="530" w:type="dxa"/>
            <w:tcMar/>
            <w:vAlign w:val="center"/>
          </w:tcPr>
          <w:p w:rsidR="5C8A4016" w:rsidP="5C8A4016" w:rsidRDefault="5C8A4016" w14:paraId="21FC0363" w14:textId="6ECC5D7A">
            <w:pPr>
              <w:rPr>
                <w:rFonts w:ascii="Calibri" w:hAnsi="Calibri" w:eastAsia="Calibri" w:cs="Calibri"/>
                <w:b w:val="1"/>
                <w:bCs w:val="1"/>
                <w:i w:val="0"/>
                <w:iCs w:val="0"/>
                <w:caps w:val="0"/>
                <w:smallCaps w:val="0"/>
                <w:color w:val="2E334E"/>
                <w:sz w:val="18"/>
                <w:szCs w:val="18"/>
              </w:rPr>
            </w:pPr>
          </w:p>
        </w:tc>
        <w:tc>
          <w:tcPr>
            <w:tcW w:w="8830" w:type="dxa"/>
            <w:tcBorders>
              <w:top w:sz="0"/>
              <w:left w:sz="0"/>
              <w:bottom w:sz="0"/>
              <w:right w:sz="0"/>
            </w:tcBorders>
            <w:tcMar/>
            <w:vAlign w:val="center"/>
          </w:tcPr>
          <w:p w:rsidR="5C8A4016" w:rsidP="5C8A4016" w:rsidRDefault="5C8A4016" w14:paraId="7472FB8A" w14:textId="7DBDC0CB">
            <w:pPr>
              <w:pStyle w:val="Normal"/>
            </w:pPr>
          </w:p>
        </w:tc>
      </w:tr>
      <w:tr w:rsidR="5C8A4016" w:rsidTr="5C8A4016" w14:paraId="1FF8326F">
        <w:tc>
          <w:tcPr>
            <w:tcW w:w="530" w:type="dxa"/>
            <w:tcMar/>
            <w:vAlign w:val="center"/>
          </w:tcPr>
          <w:p w:rsidR="5C8A4016" w:rsidP="5C8A4016" w:rsidRDefault="5C8A4016" w14:paraId="799F39CB" w14:textId="61695CCD">
            <w:pPr>
              <w:rPr>
                <w:rFonts w:ascii="Calibri" w:hAnsi="Calibri" w:eastAsia="Calibri" w:cs="Calibri"/>
                <w:b w:val="0"/>
                <w:bCs w:val="0"/>
                <w:i w:val="0"/>
                <w:iCs w:val="0"/>
                <w:caps w:val="0"/>
                <w:smallCaps w:val="0"/>
                <w:color w:val="201F1E"/>
                <w:sz w:val="22"/>
                <w:szCs w:val="22"/>
              </w:rPr>
            </w:pPr>
          </w:p>
        </w:tc>
        <w:tc>
          <w:tcPr>
            <w:tcW w:w="8830" w:type="dxa"/>
            <w:tcMar/>
            <w:vAlign w:val="center"/>
          </w:tcPr>
          <w:p w:rsidR="5C8A4016" w:rsidP="5C8A4016" w:rsidRDefault="5C8A4016" w14:paraId="4A069F1A" w14:textId="6A851813">
            <w:pPr>
              <w:rPr>
                <w:rFonts w:ascii="Calibri" w:hAnsi="Calibri" w:eastAsia="Calibri" w:cs="Calibri"/>
                <w:b w:val="1"/>
                <w:bCs w:val="1"/>
                <w:i w:val="0"/>
                <w:iCs w:val="0"/>
                <w:caps w:val="0"/>
                <w:smallCaps w:val="0"/>
                <w:sz w:val="18"/>
                <w:szCs w:val="18"/>
              </w:rPr>
            </w:pPr>
          </w:p>
        </w:tc>
      </w:tr>
    </w:tbl>
    <w:p w:rsidR="5C8A4016" w:rsidP="5C8A4016" w:rsidRDefault="5C8A4016" w14:paraId="26DCEB68" w14:textId="692DAE93">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2A99C336"/>
    <w:rsid w:val="23CD9B81"/>
    <w:rsid w:val="2A99C336"/>
    <w:rsid w:val="5C8A40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99C336"/>
  <w15:chartTrackingRefBased/>
  <w15:docId w15:val="{538E545F-50F7-4FC3-AC62-87476578E27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ac3a0395d0454671" Type="http://schemas.openxmlformats.org/officeDocument/2006/relationships/image" Target="/media/image.png"/><Relationship Id="rId7" Type="http://schemas.openxmlformats.org/officeDocument/2006/relationships/customXml" Target="../customXml/item2.xml"/><Relationship Id="rId2" Type="http://schemas.openxmlformats.org/officeDocument/2006/relationships/settings" Target="settings.xml"/><Relationship Id="R2060608e27f84484" Type="http://schemas.openxmlformats.org/officeDocument/2006/relationships/hyperlink" Target="https://www.claglobal.com/disclaimer" TargetMode="External"/><Relationship Id="rId1" Type="http://schemas.openxmlformats.org/officeDocument/2006/relationships/styles" Target="styles.xml"/><Relationship Id="R3b347678f0b74274" Type="http://schemas.openxmlformats.org/officeDocument/2006/relationships/hyperlink" Target="https://www.claconnect.com/" TargetMode="Externa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 Id="R740804c02865420d" Type="http://schemas.openxmlformats.org/officeDocument/2006/relationships/hyperlink" Target="https://www.accountingtoday.com/report/the-top-100-firms-and-regional-leaders-20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35EBF13481CD4C9DF34EC5A64CB0E6" ma:contentTypeVersion="16" ma:contentTypeDescription="Create a new document." ma:contentTypeScope="" ma:versionID="54229b6380cb301c83eaca31e27807ff">
  <xsd:schema xmlns:xsd="http://www.w3.org/2001/XMLSchema" xmlns:xs="http://www.w3.org/2001/XMLSchema" xmlns:p="http://schemas.microsoft.com/office/2006/metadata/properties" xmlns:ns2="32c7c0e0-1d3a-4085-b56c-c34a962cf1d0" xmlns:ns3="8e2303c3-22ee-4f1e-8e8a-9e6d670c4fda" targetNamespace="http://schemas.microsoft.com/office/2006/metadata/properties" ma:root="true" ma:fieldsID="a83223ed9d0d0a0133322c9a50e2a03b" ns2:_="" ns3:_="">
    <xsd:import namespace="32c7c0e0-1d3a-4085-b56c-c34a962cf1d0"/>
    <xsd:import namespace="8e2303c3-22ee-4f1e-8e8a-9e6d670c4fd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c7c0e0-1d3a-4085-b56c-c34a962cf1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30fd67b-297d-4b5d-a4f8-2815b50b83a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e2303c3-22ee-4f1e-8e8a-9e6d670c4fd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a125e00-024d-4b4e-8807-32ec3b7e5138}" ma:internalName="TaxCatchAll" ma:showField="CatchAllData" ma:web="8e2303c3-22ee-4f1e-8e8a-9e6d670c4fd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2c7c0e0-1d3a-4085-b56c-c34a962cf1d0">
      <Terms xmlns="http://schemas.microsoft.com/office/infopath/2007/PartnerControls"/>
    </lcf76f155ced4ddcb4097134ff3c332f>
    <TaxCatchAll xmlns="8e2303c3-22ee-4f1e-8e8a-9e6d670c4fda" xsi:nil="true"/>
  </documentManagement>
</p:properties>
</file>

<file path=customXml/itemProps1.xml><?xml version="1.0" encoding="utf-8"?>
<ds:datastoreItem xmlns:ds="http://schemas.openxmlformats.org/officeDocument/2006/customXml" ds:itemID="{5281B5E0-7D22-47FA-81F8-A9F890499238}"/>
</file>

<file path=customXml/itemProps2.xml><?xml version="1.0" encoding="utf-8"?>
<ds:datastoreItem xmlns:ds="http://schemas.openxmlformats.org/officeDocument/2006/customXml" ds:itemID="{8278E992-DDAD-4E89-9430-6FE65F391730}"/>
</file>

<file path=customXml/itemProps3.xml><?xml version="1.0" encoding="utf-8"?>
<ds:datastoreItem xmlns:ds="http://schemas.openxmlformats.org/officeDocument/2006/customXml" ds:itemID="{FC868A67-FC1E-49AC-B13B-BE7CE1D09ECB}"/>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Kendra Cornell</dc:creator>
  <cp:keywords/>
  <dc:description/>
  <cp:lastModifiedBy>Kendra Cornell</cp:lastModifiedBy>
  <dcterms:created xsi:type="dcterms:W3CDTF">2022-07-18T19:01:07Z</dcterms:created>
  <dcterms:modified xsi:type="dcterms:W3CDTF">2022-07-18T19:48:10Z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0x0101009735EBF13481CD4C9DF34EC5A64CB0E6</vt:lpwstr>
  </property>
</Properties>
</file>