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38D24A" w14:paraId="55F2CB71" wp14:textId="2E6766BB">
      <w:pPr>
        <w:spacing w:line="391" w:lineRule="exact"/>
        <w:jc w:val="center"/>
        <w:rPr>
          <w:rFonts w:ascii="Calibri" w:hAnsi="Calibri" w:eastAsia="Calibri" w:cs="Calibri"/>
          <w:b w:val="1"/>
          <w:bCs w:val="1"/>
          <w:i w:val="0"/>
          <w:iCs w:val="0"/>
          <w:caps w:val="0"/>
          <w:smallCaps w:val="0"/>
          <w:noProof w:val="0"/>
          <w:color w:val="201F1E"/>
          <w:sz w:val="34"/>
          <w:szCs w:val="34"/>
          <w:lang w:val="en-US"/>
        </w:rPr>
      </w:pPr>
      <w:r w:rsidR="6C38D24A">
        <w:drawing>
          <wp:inline xmlns:wp14="http://schemas.microsoft.com/office/word/2010/wordprocessingDrawing" wp14:editId="3E4B7F92" wp14:anchorId="776F9B73">
            <wp:extent cx="4572000" cy="704850"/>
            <wp:effectExtent l="0" t="0" r="0" b="0"/>
            <wp:docPr id="600905417" name="" title=""/>
            <wp:cNvGraphicFramePr>
              <a:graphicFrameLocks noChangeAspect="1"/>
            </wp:cNvGraphicFramePr>
            <a:graphic>
              <a:graphicData uri="http://schemas.openxmlformats.org/drawingml/2006/picture">
                <pic:pic>
                  <pic:nvPicPr>
                    <pic:cNvPr id="0" name=""/>
                    <pic:cNvPicPr/>
                  </pic:nvPicPr>
                  <pic:blipFill>
                    <a:blip r:embed="Ra7f663bb929144d8">
                      <a:extLst>
                        <a:ext xmlns:a="http://schemas.openxmlformats.org/drawingml/2006/main" uri="{28A0092B-C50C-407E-A947-70E740481C1C}">
                          <a14:useLocalDpi val="0"/>
                        </a:ext>
                      </a:extLst>
                    </a:blip>
                    <a:stretch>
                      <a:fillRect/>
                    </a:stretch>
                  </pic:blipFill>
                  <pic:spPr>
                    <a:xfrm>
                      <a:off x="0" y="0"/>
                      <a:ext cx="4572000" cy="704850"/>
                    </a:xfrm>
                    <a:prstGeom prst="rect">
                      <a:avLst/>
                    </a:prstGeom>
                  </pic:spPr>
                </pic:pic>
              </a:graphicData>
            </a:graphic>
          </wp:inline>
        </w:drawing>
      </w:r>
    </w:p>
    <w:p xmlns:wp14="http://schemas.microsoft.com/office/word/2010/wordml" w:rsidP="6C38D24A" w14:paraId="3A3A3AD0" wp14:textId="29A9AA20">
      <w:pPr>
        <w:spacing w:line="391" w:lineRule="exact"/>
        <w:jc w:val="center"/>
      </w:pPr>
      <w:r w:rsidRPr="6C38D24A" w:rsidR="6C38D24A">
        <w:rPr>
          <w:rFonts w:ascii="Calibri" w:hAnsi="Calibri" w:eastAsia="Calibri" w:cs="Calibri"/>
          <w:b w:val="1"/>
          <w:bCs w:val="1"/>
          <w:i w:val="0"/>
          <w:iCs w:val="0"/>
          <w:caps w:val="0"/>
          <w:smallCaps w:val="0"/>
          <w:noProof w:val="0"/>
          <w:color w:val="201F1E"/>
          <w:sz w:val="34"/>
          <w:szCs w:val="34"/>
          <w:lang w:val="en-US"/>
        </w:rPr>
        <w:t>2022 Shipping Season Ramping up for Port of Green Bay</w:t>
      </w:r>
    </w:p>
    <w:p xmlns:wp14="http://schemas.microsoft.com/office/word/2010/wordml" w:rsidP="6C38D24A" w14:paraId="223486E4" wp14:textId="79F13B60">
      <w:pPr>
        <w:spacing w:line="276" w:lineRule="exact"/>
      </w:pPr>
      <w:r w:rsidRPr="6C38D24A" w:rsidR="6C38D24A">
        <w:rPr>
          <w:rFonts w:ascii="Calibri" w:hAnsi="Calibri" w:eastAsia="Calibri" w:cs="Calibri"/>
          <w:b w:val="1"/>
          <w:bCs w:val="1"/>
          <w:i w:val="0"/>
          <w:iCs w:val="0"/>
          <w:caps w:val="0"/>
          <w:smallCaps w:val="0"/>
          <w:noProof w:val="0"/>
          <w:color w:val="201F1E"/>
          <w:sz w:val="24"/>
          <w:szCs w:val="24"/>
          <w:lang w:val="en-US"/>
        </w:rPr>
        <w:t xml:space="preserve"> </w:t>
      </w:r>
    </w:p>
    <w:p xmlns:wp14="http://schemas.microsoft.com/office/word/2010/wordml" w:rsidP="6C38D24A" w14:paraId="585A5713" wp14:textId="5B92503A">
      <w:pPr>
        <w:spacing w:line="276" w:lineRule="exact"/>
      </w:pPr>
      <w:r w:rsidRPr="6C38D24A" w:rsidR="6C38D24A">
        <w:rPr>
          <w:rFonts w:ascii="Calibri" w:hAnsi="Calibri" w:eastAsia="Calibri" w:cs="Calibri"/>
          <w:b w:val="1"/>
          <w:bCs w:val="1"/>
          <w:i w:val="0"/>
          <w:iCs w:val="0"/>
          <w:caps w:val="0"/>
          <w:smallCaps w:val="0"/>
          <w:noProof w:val="0"/>
          <w:color w:val="201F1E"/>
          <w:sz w:val="24"/>
          <w:szCs w:val="24"/>
          <w:lang w:val="en-US"/>
        </w:rPr>
        <w:t>For Immediate Release                                                                                                                                                                                                          May 13, 2022</w:t>
      </w:r>
    </w:p>
    <w:p xmlns:wp14="http://schemas.microsoft.com/office/word/2010/wordml" w:rsidP="6C38D24A" w14:paraId="2A9A0C25" wp14:textId="0AE26902">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(Green Bay, Wis.) – The shipping season is now fully underway, with early tonnage totals for the </w:t>
      </w:r>
      <w:hyperlink r:id="Rf6f2ebdb42c746cd">
        <w:r w:rsidRPr="6C38D24A" w:rsidR="6C38D24A">
          <w:rPr>
            <w:rStyle w:val="Hyperlink"/>
            <w:rFonts w:ascii="Calibri" w:hAnsi="Calibri" w:eastAsia="Calibri" w:cs="Calibri"/>
            <w:b w:val="0"/>
            <w:bCs w:val="0"/>
            <w:i w:val="0"/>
            <w:iCs w:val="0"/>
            <w:caps w:val="0"/>
            <w:smallCaps w:val="0"/>
            <w:strike w:val="0"/>
            <w:dstrike w:val="0"/>
            <w:noProof w:val="0"/>
            <w:sz w:val="24"/>
            <w:szCs w:val="24"/>
            <w:lang w:val="en-US"/>
          </w:rPr>
          <w:t>Port of Green Bay</w:t>
        </w:r>
      </w:hyperlink>
      <w:r w:rsidRPr="6C38D24A" w:rsidR="6C38D24A">
        <w:rPr>
          <w:rFonts w:ascii="Calibri" w:hAnsi="Calibri" w:eastAsia="Calibri" w:cs="Calibri"/>
          <w:b w:val="0"/>
          <w:bCs w:val="0"/>
          <w:i w:val="0"/>
          <w:iCs w:val="0"/>
          <w:caps w:val="0"/>
          <w:smallCaps w:val="0"/>
          <w:noProof w:val="0"/>
          <w:color w:val="201F1E"/>
          <w:sz w:val="24"/>
          <w:szCs w:val="24"/>
          <w:lang w:val="en-US"/>
        </w:rPr>
        <w:t xml:space="preserve"> steadily ramping up. The season officially began on March 19, and the combined tonnage total for March and April was 104,162 tons, down about 21% from the opening period a year ago. </w:t>
      </w:r>
    </w:p>
    <w:p xmlns:wp14="http://schemas.microsoft.com/office/word/2010/wordml" w:rsidP="6C38D24A" w14:paraId="05277892" wp14:textId="5CEE9B26">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6C38D24A" w14:paraId="73D73454" wp14:textId="7E8FD39D">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“History has told us that it’s very difficult to predict what a new shipping season will be like,” said Dean Haen, Port of Green Bay Director. “Every shipping season is different because shipments are booked far in advance. With many different factors involved – including demand, prices and availability – we expect to see some ups and downs in the monthly tonnage reports throughout the shipping season this year.” </w:t>
      </w:r>
    </w:p>
    <w:p xmlns:wp14="http://schemas.microsoft.com/office/word/2010/wordml" w:rsidP="6C38D24A" w14:paraId="1F06B8DC" wp14:textId="0F960FFD">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6C38D24A" w14:paraId="65ED8B94" wp14:textId="23368B1A">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The leading cargo imports for March and April were petroleum products (29,650 tons), cement (26,481 tons) and limestone (26,160 tons). In addition, ash exports totalled 4,809 tons. Through the end of April there were 11 ships that came into the Port.</w:t>
      </w:r>
    </w:p>
    <w:p xmlns:wp14="http://schemas.microsoft.com/office/word/2010/wordml" w:rsidP="6C38D24A" w14:paraId="6025A1DA" wp14:textId="7FE9946C">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6C38D24A" w14:paraId="35B4110C" wp14:textId="2BC7FE06">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“When the 2021-22 shipping season came to a close in January, we were very close to 2 million tons of cargo moving through the port,” Haen added. “It’s early in this year’s season, so we are still optimistic that we can come close to that 2 million ton mark this year.”</w:t>
      </w:r>
    </w:p>
    <w:p xmlns:wp14="http://schemas.microsoft.com/office/word/2010/wordml" w:rsidP="6C38D24A" w14:paraId="0CCE17A7" wp14:textId="2E733A09">
      <w:pPr>
        <w:spacing w:line="276" w:lineRule="exact"/>
      </w:pPr>
      <w:r w:rsidRPr="6C38D24A" w:rsidR="6C38D24A">
        <w:rPr>
          <w:rFonts w:ascii="Calibri" w:hAnsi="Calibri" w:eastAsia="Calibri" w:cs="Calibri"/>
          <w:b w:val="0"/>
          <w:bCs w:val="0"/>
          <w:i w:val="0"/>
          <w:iCs w:val="0"/>
          <w:caps w:val="0"/>
          <w:smallCaps w:val="0"/>
          <w:noProof w:val="0"/>
          <w:color w:val="201F1E"/>
          <w:sz w:val="24"/>
          <w:szCs w:val="24"/>
          <w:lang w:val="en-US"/>
        </w:rPr>
        <w:t xml:space="preserve"> </w:t>
      </w:r>
    </w:p>
    <w:p xmlns:wp14="http://schemas.microsoft.com/office/word/2010/wordml" w:rsidP="6C38D24A" w14:paraId="09519C6D" wp14:textId="66BC6523">
      <w:pPr>
        <w:spacing w:line="240" w:lineRule="exact"/>
        <w:jc w:val="center"/>
      </w:pPr>
      <w:r w:rsidRPr="6C38D24A" w:rsidR="6C38D24A">
        <w:rPr>
          <w:rFonts w:ascii="Calibri" w:hAnsi="Calibri" w:eastAsia="Calibri" w:cs="Calibri"/>
          <w:b w:val="0"/>
          <w:bCs w:val="0"/>
          <w:i w:val="0"/>
          <w:iCs w:val="0"/>
          <w:caps w:val="0"/>
          <w:smallCaps w:val="0"/>
          <w:noProof w:val="0"/>
          <w:color w:val="201F1E"/>
          <w:sz w:val="20"/>
          <w:szCs w:val="20"/>
          <w:lang w:val="en-US"/>
        </w:rPr>
        <w:t xml:space="preserve"> </w:t>
      </w:r>
    </w:p>
    <w:p xmlns:wp14="http://schemas.microsoft.com/office/word/2010/wordml" w:rsidP="6C38D24A" w14:paraId="62B0CDDB" wp14:textId="66DBFE98">
      <w:pPr>
        <w:spacing w:line="240" w:lineRule="exact"/>
        <w:jc w:val="center"/>
      </w:pPr>
      <w:r w:rsidRPr="6C38D24A" w:rsidR="6C38D24A">
        <w:rPr>
          <w:rFonts w:ascii="Calibri" w:hAnsi="Calibri" w:eastAsia="Calibri" w:cs="Calibri"/>
          <w:b w:val="0"/>
          <w:bCs w:val="0"/>
          <w:i w:val="0"/>
          <w:iCs w:val="0"/>
          <w:caps w:val="0"/>
          <w:smallCaps w:val="0"/>
          <w:noProof w:val="0"/>
          <w:color w:val="201F1E"/>
          <w:sz w:val="20"/>
          <w:szCs w:val="20"/>
          <w:lang w:val="en-US"/>
        </w:rPr>
        <w:t>###</w:t>
      </w:r>
    </w:p>
    <w:p xmlns:wp14="http://schemas.microsoft.com/office/word/2010/wordml" w:rsidP="6C38D24A" w14:paraId="79D17C2C" wp14:textId="24E3BBEF">
      <w:pPr>
        <w:spacing w:line="240" w:lineRule="exact"/>
      </w:pPr>
      <w:r w:rsidRPr="6C38D24A" w:rsidR="6C38D24A">
        <w:rPr>
          <w:rFonts w:ascii="Calibri" w:hAnsi="Calibri" w:eastAsia="Calibri" w:cs="Calibri"/>
          <w:b w:val="1"/>
          <w:bCs w:val="1"/>
          <w:i w:val="1"/>
          <w:iCs w:val="1"/>
          <w:caps w:val="0"/>
          <w:smallCaps w:val="0"/>
          <w:noProof w:val="0"/>
          <w:color w:val="201F1E"/>
          <w:sz w:val="20"/>
          <w:szCs w:val="20"/>
          <w:lang w:val="en-US"/>
        </w:rPr>
        <w:t>About the Port of Green Bay:</w:t>
      </w:r>
      <w:r w:rsidRPr="6C38D24A" w:rsidR="6C38D24A">
        <w:rPr>
          <w:rFonts w:ascii="Calibri" w:hAnsi="Calibri" w:eastAsia="Calibri" w:cs="Calibri"/>
          <w:b w:val="0"/>
          <w:bCs w:val="0"/>
          <w:i w:val="0"/>
          <w:iCs w:val="0"/>
          <w:caps w:val="0"/>
          <w:smallCaps w:val="0"/>
          <w:noProof w:val="0"/>
          <w:color w:val="201F1E"/>
          <w:sz w:val="20"/>
          <w:szCs w:val="20"/>
          <w:lang w:val="en-US"/>
        </w:rPr>
        <w:t xml:space="preserve"> The Port of Green Bay exists to enhance the prosperity of the people of Northeast Wisconsin by providing facilities and infrastructure able to effectively and efficiently move commodities and goods across the nation. As the western-most port of Lake Michigan, the Port of Green Bay offers a direct route for shipping from the Midwest to the rest of the world. The Port of Green Bay has 14 active terminal operators located along three miles of the Fox River involved in shipping commodities: </w:t>
      </w:r>
      <w:hyperlink r:id="Ra0e1e0e2064644fd">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Ace Marine</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ace40ef8129e4974">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C. Reiss Coal Company</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194f0ae84e744dc4">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Construction Resources Management</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w:anchor="4.82/44.003/-93.169" r:id="R145ea7fa4bbd4c5c">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Flint Hills Resources</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9c93f8affe27442a">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Fox River Terminals</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6981680d660e45d9">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Georgia-Pacific</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c3f6bfc617304ca4">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Graymont</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676648b439de45bf">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GLC Minerals</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66cea1010f9d4efa">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KK Integrated Logistics</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a8c84978fca24bea">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Lafarge Northern America</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390e8e15a9f34c00">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RGL</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fe981fa44bef481b">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Sanimax</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w:t>
      </w:r>
      <w:hyperlink r:id="Ra76c1346dbbc490a">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St. Mary’s Cement</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and </w:t>
      </w:r>
      <w:hyperlink r:id="Rcb75cf0610064b47">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U.S. Venture</w:t>
        </w:r>
      </w:hyperlink>
      <w:r w:rsidRPr="6C38D24A" w:rsidR="6C38D24A">
        <w:rPr>
          <w:rFonts w:ascii="Calibri" w:hAnsi="Calibri" w:eastAsia="Calibri" w:cs="Calibri"/>
          <w:b w:val="0"/>
          <w:bCs w:val="0"/>
          <w:i w:val="0"/>
          <w:iCs w:val="0"/>
          <w:caps w:val="0"/>
          <w:smallCaps w:val="0"/>
          <w:noProof w:val="0"/>
          <w:color w:val="201F1E"/>
          <w:sz w:val="20"/>
          <w:szCs w:val="20"/>
          <w:lang w:val="en-US"/>
        </w:rPr>
        <w:t>.</w:t>
      </w:r>
    </w:p>
    <w:p xmlns:wp14="http://schemas.microsoft.com/office/word/2010/wordml" w:rsidP="6C38D24A" w14:paraId="25DE4634" wp14:textId="1CF97AAE">
      <w:pPr>
        <w:spacing w:line="240" w:lineRule="exact"/>
        <w:jc w:val="center"/>
      </w:pPr>
      <w:r w:rsidRPr="6C38D24A" w:rsidR="6C38D24A">
        <w:rPr>
          <w:rFonts w:ascii="Calibri" w:hAnsi="Calibri" w:eastAsia="Calibri" w:cs="Calibri"/>
          <w:b w:val="0"/>
          <w:bCs w:val="0"/>
          <w:i w:val="0"/>
          <w:iCs w:val="0"/>
          <w:caps w:val="0"/>
          <w:smallCaps w:val="0"/>
          <w:noProof w:val="0"/>
          <w:color w:val="201F1E"/>
          <w:sz w:val="20"/>
          <w:szCs w:val="20"/>
          <w:lang w:val="en-US"/>
        </w:rPr>
        <w:t xml:space="preserve">For more information, visit our website at: </w:t>
      </w:r>
      <w:hyperlink r:id="R41fa087468b34363">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www.portofgreenbay.com</w:t>
        </w:r>
      </w:hyperlink>
    </w:p>
    <w:p xmlns:wp14="http://schemas.microsoft.com/office/word/2010/wordml" w:rsidP="6C38D24A" w14:paraId="6AC0DF8E" wp14:textId="32B7ECFF">
      <w:pPr>
        <w:spacing w:line="240" w:lineRule="exact"/>
        <w:jc w:val="center"/>
      </w:pPr>
      <w:r w:rsidRPr="6C38D24A" w:rsidR="6C38D24A">
        <w:rPr>
          <w:rFonts w:ascii="Calibri" w:hAnsi="Calibri" w:eastAsia="Calibri" w:cs="Calibri"/>
          <w:b w:val="0"/>
          <w:bCs w:val="0"/>
          <w:i w:val="0"/>
          <w:iCs w:val="0"/>
          <w:caps w:val="0"/>
          <w:smallCaps w:val="0"/>
          <w:noProof w:val="0"/>
          <w:color w:val="201F1E"/>
          <w:sz w:val="20"/>
          <w:szCs w:val="20"/>
          <w:lang w:val="en-US"/>
        </w:rPr>
        <w:t xml:space="preserve">Follow us on: </w:t>
      </w:r>
      <w:hyperlink r:id="Ra6a044f828514039">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Facebook</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  </w:t>
      </w:r>
      <w:hyperlink r:id="R76c82f89bad147fc">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 xml:space="preserve">Twitter </w:t>
        </w:r>
      </w:hyperlink>
      <w:r w:rsidRPr="6C38D24A" w:rsidR="6C38D24A">
        <w:rPr>
          <w:rFonts w:ascii="Calibri" w:hAnsi="Calibri" w:eastAsia="Calibri" w:cs="Calibri"/>
          <w:b w:val="0"/>
          <w:bCs w:val="0"/>
          <w:i w:val="0"/>
          <w:iCs w:val="0"/>
          <w:caps w:val="0"/>
          <w:smallCaps w:val="0"/>
          <w:noProof w:val="0"/>
          <w:color w:val="201F1E"/>
          <w:sz w:val="20"/>
          <w:szCs w:val="20"/>
          <w:lang w:val="en-US"/>
        </w:rPr>
        <w:t xml:space="preserve"> | </w:t>
      </w:r>
      <w:hyperlink r:id="R9f998d5e38b9440a">
        <w:r w:rsidRPr="6C38D24A" w:rsidR="6C38D24A">
          <w:rPr>
            <w:rStyle w:val="Hyperlink"/>
            <w:rFonts w:ascii="Calibri" w:hAnsi="Calibri" w:eastAsia="Calibri" w:cs="Calibri"/>
            <w:b w:val="0"/>
            <w:bCs w:val="0"/>
            <w:i w:val="0"/>
            <w:iCs w:val="0"/>
            <w:caps w:val="0"/>
            <w:smallCaps w:val="0"/>
            <w:strike w:val="0"/>
            <w:dstrike w:val="0"/>
            <w:noProof w:val="0"/>
            <w:sz w:val="20"/>
            <w:szCs w:val="20"/>
            <w:lang w:val="en-US"/>
          </w:rPr>
          <w:t xml:space="preserve">YouTube </w:t>
        </w:r>
      </w:hyperlink>
    </w:p>
    <w:p xmlns:wp14="http://schemas.microsoft.com/office/word/2010/wordml" w14:paraId="2710A71A" wp14:textId="049251C3">
      <w:r w:rsidRPr="6C38D24A" w:rsidR="6C38D24A">
        <w:rPr>
          <w:rFonts w:ascii="Calibri" w:hAnsi="Calibri" w:eastAsia="Calibri" w:cs="Calibri"/>
          <w:b w:val="1"/>
          <w:bCs w:val="1"/>
          <w:i w:val="0"/>
          <w:iCs w:val="0"/>
          <w:caps w:val="0"/>
          <w:smallCaps w:val="0"/>
          <w:noProof w:val="0"/>
          <w:color w:val="201F1E"/>
          <w:sz w:val="22"/>
          <w:szCs w:val="22"/>
          <w:u w:val="single"/>
          <w:lang w:val="en-US"/>
        </w:rPr>
        <w:t>Media Contacts:</w:t>
      </w:r>
    </w:p>
    <w:p xmlns:wp14="http://schemas.microsoft.com/office/word/2010/wordml" w14:paraId="0C52A0F6" wp14:textId="755E88AF">
      <w:r w:rsidRPr="6C38D24A" w:rsidR="6C38D24A">
        <w:rPr>
          <w:rFonts w:ascii="Calibri" w:hAnsi="Calibri" w:eastAsia="Calibri" w:cs="Calibri"/>
          <w:b w:val="0"/>
          <w:bCs w:val="0"/>
          <w:i w:val="0"/>
          <w:iCs w:val="0"/>
          <w:caps w:val="0"/>
          <w:smallCaps w:val="0"/>
          <w:noProof w:val="0"/>
          <w:color w:val="201F1E"/>
          <w:sz w:val="22"/>
          <w:szCs w:val="22"/>
          <w:lang w:val="en-US"/>
        </w:rPr>
        <w:t>Dean Haen, Director                                                    Scott Stein</w:t>
      </w:r>
    </w:p>
    <w:p xmlns:wp14="http://schemas.microsoft.com/office/word/2010/wordml" w14:paraId="61D03861" wp14:textId="77559AE5">
      <w:r w:rsidRPr="6C38D24A" w:rsidR="6C38D24A">
        <w:rPr>
          <w:rFonts w:ascii="Calibri" w:hAnsi="Calibri" w:eastAsia="Calibri" w:cs="Calibri"/>
          <w:b w:val="0"/>
          <w:bCs w:val="0"/>
          <w:i w:val="0"/>
          <w:iCs w:val="0"/>
          <w:caps w:val="0"/>
          <w:smallCaps w:val="0"/>
          <w:noProof w:val="0"/>
          <w:color w:val="201F1E"/>
          <w:sz w:val="22"/>
          <w:szCs w:val="22"/>
          <w:lang w:val="en-US"/>
        </w:rPr>
        <w:t>Brown County Port &amp; Resources Recovery            Leonard &amp; Finco Public Relations</w:t>
      </w:r>
    </w:p>
    <w:p xmlns:wp14="http://schemas.microsoft.com/office/word/2010/wordml" w14:paraId="010AD67C" wp14:textId="7ADAE972">
      <w:r w:rsidRPr="6C38D24A" w:rsidR="6C38D24A">
        <w:rPr>
          <w:rFonts w:ascii="Calibri" w:hAnsi="Calibri" w:eastAsia="Calibri" w:cs="Calibri"/>
          <w:b w:val="0"/>
          <w:bCs w:val="0"/>
          <w:i w:val="0"/>
          <w:iCs w:val="0"/>
          <w:caps w:val="0"/>
          <w:smallCaps w:val="0"/>
          <w:noProof w:val="0"/>
          <w:color w:val="201F1E"/>
          <w:sz w:val="22"/>
          <w:szCs w:val="22"/>
          <w:lang w:val="en-US"/>
        </w:rPr>
        <w:t>(920) 492-4953                                                              (920) 676-0711</w:t>
      </w:r>
    </w:p>
    <w:p xmlns:wp14="http://schemas.microsoft.com/office/word/2010/wordml" w14:paraId="36E9B78D" wp14:textId="4426EDCC">
      <w:hyperlink r:id="Rec7d208ca01c4dbb">
        <w:r w:rsidRPr="6C38D24A" w:rsidR="6C38D24A">
          <w:rPr>
            <w:rStyle w:val="Hyperlink"/>
            <w:rFonts w:ascii="Calibri" w:hAnsi="Calibri" w:eastAsia="Calibri" w:cs="Calibri"/>
            <w:b w:val="0"/>
            <w:bCs w:val="0"/>
            <w:i w:val="0"/>
            <w:iCs w:val="0"/>
            <w:caps w:val="0"/>
            <w:smallCaps w:val="0"/>
            <w:strike w:val="0"/>
            <w:dstrike w:val="0"/>
            <w:noProof w:val="0"/>
            <w:sz w:val="22"/>
            <w:szCs w:val="22"/>
            <w:lang w:val="en-US"/>
          </w:rPr>
          <w:t>www.portofgreenbay.com</w:t>
        </w:r>
      </w:hyperlink>
      <w:r w:rsidRPr="6C38D24A" w:rsidR="6C38D24A">
        <w:rPr>
          <w:rFonts w:ascii="Calibri" w:hAnsi="Calibri" w:eastAsia="Calibri" w:cs="Calibri"/>
          <w:b w:val="0"/>
          <w:bCs w:val="0"/>
          <w:i w:val="0"/>
          <w:iCs w:val="0"/>
          <w:caps w:val="0"/>
          <w:smallCaps w:val="0"/>
          <w:noProof w:val="0"/>
          <w:color w:val="201F1E"/>
          <w:sz w:val="22"/>
          <w:szCs w:val="22"/>
          <w:lang w:val="en-US"/>
        </w:rPr>
        <w:t xml:space="preserve">                                         </w:t>
      </w:r>
      <w:hyperlink r:id="Ra691e92ffa774005">
        <w:r w:rsidRPr="6C38D24A" w:rsidR="6C38D24A">
          <w:rPr>
            <w:rStyle w:val="Hyperlink"/>
            <w:rFonts w:ascii="Calibri" w:hAnsi="Calibri" w:eastAsia="Calibri" w:cs="Calibri"/>
            <w:b w:val="0"/>
            <w:bCs w:val="0"/>
            <w:i w:val="0"/>
            <w:iCs w:val="0"/>
            <w:caps w:val="0"/>
            <w:smallCaps w:val="0"/>
            <w:strike w:val="0"/>
            <w:dstrike w:val="0"/>
            <w:noProof w:val="0"/>
            <w:sz w:val="22"/>
            <w:szCs w:val="22"/>
            <w:lang w:val="en-US"/>
          </w:rPr>
          <w:t>sstein@LFpublicrelations.com</w:t>
        </w:r>
      </w:hyperlink>
    </w:p>
    <w:p xmlns:wp14="http://schemas.microsoft.com/office/word/2010/wordml" w:rsidP="6C38D24A" w14:paraId="2C078E63" wp14:textId="2A93F2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9DE7B7"/>
    <w:rsid w:val="03362057"/>
    <w:rsid w:val="1C9DE7B7"/>
    <w:rsid w:val="6C38D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E7B7"/>
  <w15:chartTrackingRefBased/>
  <w15:docId w15:val="{6105F422-72FB-46C6-9BF4-86E9C4BE11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676648b439de45bf" Type="http://schemas.openxmlformats.org/officeDocument/2006/relationships/hyperlink" Target="https://www.glcminerals.com/" TargetMode="External"/><Relationship Id="R76c82f89bad147fc" Type="http://schemas.openxmlformats.org/officeDocument/2006/relationships/hyperlink" Target="https://twitter.com/PortofGreenBay" TargetMode="External"/><Relationship Id="rId8" Type="http://schemas.openxmlformats.org/officeDocument/2006/relationships/customXml" Target="../customXml/item3.xml"/><Relationship Id="rId3" Type="http://schemas.openxmlformats.org/officeDocument/2006/relationships/webSettings" Target="webSettings.xml"/><Relationship Id="R194f0ae84e744dc4" Type="http://schemas.openxmlformats.org/officeDocument/2006/relationships/hyperlink" Target="file://server/documents/Susan/Port%20of%20Green%20Bay%20KP/News%20Releases/2019/Construction%20Resources%20Management" TargetMode="External"/><Relationship Id="R145ea7fa4bbd4c5c" Type="http://schemas.openxmlformats.org/officeDocument/2006/relationships/hyperlink" Target="https://www.fhr.com/about/locations?subCategoryId=11" TargetMode="External"/><Relationship Id="Ra76c1346dbbc490a" Type="http://schemas.openxmlformats.org/officeDocument/2006/relationships/hyperlink" Target="http://www.stmaryscement.com/" TargetMode="External"/><Relationship Id="Rcb75cf0610064b47" Type="http://schemas.openxmlformats.org/officeDocument/2006/relationships/hyperlink" Target="https://www.usventure.com/" TargetMode="External"/><Relationship Id="rId7" Type="http://schemas.openxmlformats.org/officeDocument/2006/relationships/customXml" Target="../customXml/item2.xml"/><Relationship Id="rId2" Type="http://schemas.openxmlformats.org/officeDocument/2006/relationships/settings" Target="settings.xml"/><Relationship Id="R6981680d660e45d9" Type="http://schemas.openxmlformats.org/officeDocument/2006/relationships/hyperlink" Target="https://www.gp.com/about-us/mill-sites/green-bay/green-bay-wisconsin" TargetMode="External"/><Relationship Id="R66cea1010f9d4efa" Type="http://schemas.openxmlformats.org/officeDocument/2006/relationships/hyperlink" Target="http://www.kkil.net/" TargetMode="External"/><Relationship Id="Ra8c84978fca24bea" Type="http://schemas.openxmlformats.org/officeDocument/2006/relationships/hyperlink" Target="https://www.lafargeholcim.us/" TargetMode="External"/><Relationship Id="R390e8e15a9f34c00" Type="http://schemas.openxmlformats.org/officeDocument/2006/relationships/hyperlink" Target="https://www.lafargeholcim.us/" TargetMode="External"/><Relationship Id="R9f998d5e38b9440a" Type="http://schemas.openxmlformats.org/officeDocument/2006/relationships/hyperlink" Target="https://www.youtube.com/channel/UC-EKSqad0xcwDUkijByXo4Q/videos?sub_confirmation=1" TargetMode="External"/><Relationship Id="rId1" Type="http://schemas.openxmlformats.org/officeDocument/2006/relationships/styles" Target="styles.xml"/><Relationship Id="Rf6f2ebdb42c746cd" Type="http://schemas.openxmlformats.org/officeDocument/2006/relationships/hyperlink" Target="http://www.portofgreenbay.com/" TargetMode="External"/><Relationship Id="R9c93f8affe27442a" Type="http://schemas.openxmlformats.org/officeDocument/2006/relationships/hyperlink" Target="https://robindale.energy/frt/" TargetMode="External"/><Relationship Id="Rfe981fa44bef481b" Type="http://schemas.openxmlformats.org/officeDocument/2006/relationships/hyperlink" Target="https://www.sanimax.com/" TargetMode="External"/><Relationship Id="Ra6a044f828514039" Type="http://schemas.openxmlformats.org/officeDocument/2006/relationships/hyperlink" Target="https://www.facebook.com/PortofGreenBay" TargetMode="External"/><Relationship Id="rId6" Type="http://schemas.openxmlformats.org/officeDocument/2006/relationships/customXml" Target="../customXml/item1.xml"/><Relationship Id="rId5" Type="http://schemas.openxmlformats.org/officeDocument/2006/relationships/theme" Target="theme/theme1.xml"/><Relationship Id="Rc3f6bfc617304ca4" Type="http://schemas.openxmlformats.org/officeDocument/2006/relationships/hyperlink" Target="https://www.graymont.com/en" TargetMode="External"/><Relationship Id="Rec7d208ca01c4dbb" Type="http://schemas.openxmlformats.org/officeDocument/2006/relationships/hyperlink" Target="http://www.portofgreenbay.com/" TargetMode="External"/><Relationship Id="Ra691e92ffa774005" Type="http://schemas.openxmlformats.org/officeDocument/2006/relationships/hyperlink" Target="mailto:sstein@LFpublicrelations.com" TargetMode="External"/><Relationship Id="Ra7f663bb929144d8" Type="http://schemas.openxmlformats.org/officeDocument/2006/relationships/image" Target="/media/image.png"/><Relationship Id="Race40ef8129e4974" Type="http://schemas.openxmlformats.org/officeDocument/2006/relationships/hyperlink" Target="https://robindale.energy/crcc/" TargetMode="External"/><Relationship Id="R41fa087468b34363" Type="http://schemas.openxmlformats.org/officeDocument/2006/relationships/hyperlink" Target="http://www.portofgreenbay.com/" TargetMode="External"/><Relationship Id="rId4" Type="http://schemas.openxmlformats.org/officeDocument/2006/relationships/fontTable" Target="fontTable.xml"/><Relationship Id="Ra0e1e0e2064644fd" Type="http://schemas.openxmlformats.org/officeDocument/2006/relationships/hyperlink" Target="https://www.fincantierimarinegroup.com/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A67FF-E04F-42D0-9891-62085AD12CBF}"/>
</file>

<file path=customXml/itemProps2.xml><?xml version="1.0" encoding="utf-8"?>
<ds:datastoreItem xmlns:ds="http://schemas.openxmlformats.org/officeDocument/2006/customXml" ds:itemID="{3CECE01F-8941-41AC-95FF-6880D36F7966}"/>
</file>

<file path=customXml/itemProps3.xml><?xml version="1.0" encoding="utf-8"?>
<ds:datastoreItem xmlns:ds="http://schemas.openxmlformats.org/officeDocument/2006/customXml" ds:itemID="{D9F0E325-D27F-4F6B-B656-0E4374604D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2022-05-16T14:54:49Z</dcterms:created>
  <dcterms:modified xsi:type="dcterms:W3CDTF">2022-05-16T14:55:54Z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